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507-2_4seq1.xml.htm"/>
      <w:bookmarkStart w:id="1" w:name="kstm2625507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Huskinson W.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POST OAK PARKWAY, SUITE 2200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Stellus Private Credit BDC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CCO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06"/>
        <w:gridCol w:w="456"/>
        <w:gridCol w:w="756"/>
        <w:gridCol w:w="1240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15.25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6,204.32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shares includes shares acquired pursuant to the Stellus Private Credit BDC automatic dividend reinvestment plan ("DRIP"), exempt under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W. Todd Huskinson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1513" TargetMode="External"/><Relationship Id="rId5" Type="http://schemas.openxmlformats.org/officeDocument/2006/relationships/hyperlink" Target="http://www.sec.gov/cgi-bin/browse-edgar?action=getcompany&amp;CIK=00019010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3214</Characters>
  <CharactersWithSpaces>3738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