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5507-3_4seq1.xml.htm"/>
      <w:bookmarkStart w:id="1" w:name="kstm26255073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Ladd Robert T.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4400 POST OAK PARKWAY, SUITE 2200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77027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Stellus Private Credit BDC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NONE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0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CEO and President</w:t>
                  </w:r>
                  <w:r>
                    <w:rPr/>
                    <w:t xml:space="preserve"> / </w:t>
                  </w: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Trustee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17"/>
        <w:gridCol w:w="903"/>
        <w:gridCol w:w="773"/>
        <w:gridCol w:w="600"/>
        <w:gridCol w:w="346"/>
        <w:gridCol w:w="839"/>
        <w:gridCol w:w="449"/>
        <w:gridCol w:w="752"/>
        <w:gridCol w:w="1316"/>
        <w:gridCol w:w="991"/>
        <w:gridCol w:w="919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1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4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1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1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1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1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2,548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15.25</w:t>
            </w:r>
          </w:p>
        </w:tc>
        <w:tc>
          <w:tcPr>
            <w:tcW w:w="13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43,059.48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number of shares includes shares acquired pursuant to the Stellus Private Credit BDC automatic dividend reinvestment plan ("DRIP"), exempt under Rule 16a-11.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W. Todd Huskinson,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61515" TargetMode="External"/><Relationship Id="rId5" Type="http://schemas.openxmlformats.org/officeDocument/2006/relationships/hyperlink" Target="http://www.sec.gov/cgi-bin/browse-edgar?action=getcompany&amp;CIK=000190103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593</Words>
  <Characters>3235</Characters>
  <CharactersWithSpaces>3761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