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173d1_8k.htm"/>
      <w:bookmarkStart w:id="1" w:name="kstm261817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616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June 18, 2026 (</w:t>
      </w:r>
      <w:bookmarkStart w:id="3" w:name="xdx_90F_edei--DocumentPeriodEndDate_c202"/>
      <w:bookmarkEnd w:id="3"/>
      <w:r>
        <w:rPr>
          <w:rFonts w:ascii="Times New Roman;Times;Serif" w:hAnsi="Times New Roman;Times;Serif"/>
          <w:b/>
          <w:i w:val="false"/>
          <w:caps w:val="false"/>
          <w:smallCaps w:val="false"/>
          <w:sz w:val="20"/>
        </w:rPr>
        <w:t>June 16,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6_edei--EntityRegistrantName_c2026"/>
      <w:bookmarkEnd w:id="4"/>
      <w:r>
        <w:rPr>
          <w:rFonts w:ascii="Times New Roman;Times;Serif" w:hAnsi="Times New Roman;Times;Serif"/>
          <w:b/>
          <w:i w:val="false"/>
          <w:caps w:val="false"/>
          <w:smallCaps w:val="false"/>
          <w:sz w:val="48"/>
        </w:rPr>
        <w:t>Stellus Private Credit BDC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3125"/>
        <w:gridCol w:w="1385"/>
        <w:gridCol w:w="2375"/>
      </w:tblGrid>
      <w:tr>
        <w:trPr/>
        <w:tc>
          <w:tcPr>
            <w:tcW w:w="3125" w:type="dxa"/>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1385" w:type="dxa"/>
            <w:tcBorders/>
            <w:vAlign w:val="center"/>
          </w:tcPr>
          <w:p>
            <w:pPr>
              <w:pStyle w:val="TableContents"/>
              <w:bidi w:val="0"/>
              <w:spacing w:before="0" w:after="283"/>
              <w:jc w:val="center"/>
              <w:rPr>
                <w:b/>
                <w:sz w:val="20"/>
              </w:rPr>
            </w:pPr>
            <w:bookmarkStart w:id="6" w:name="xdx_90A_edei--EntityFileNumber_c20260616"/>
            <w:bookmarkEnd w:id="6"/>
            <w:r>
              <w:rPr>
                <w:b/>
                <w:sz w:val="20"/>
              </w:rPr>
              <w:t>000-56378</w:t>
            </w:r>
          </w:p>
        </w:tc>
        <w:tc>
          <w:tcPr>
            <w:tcW w:w="2375" w:type="dxa"/>
            <w:tcBorders/>
            <w:vAlign w:val="center"/>
          </w:tcPr>
          <w:p>
            <w:pPr>
              <w:pStyle w:val="TableContents"/>
              <w:bidi w:val="0"/>
              <w:spacing w:before="0" w:after="283"/>
              <w:jc w:val="center"/>
              <w:rPr>
                <w:b/>
                <w:sz w:val="20"/>
              </w:rPr>
            </w:pPr>
            <w:bookmarkStart w:id="7" w:name="xdx_904_edei--EntityTaxIdentificationNum"/>
            <w:bookmarkEnd w:id="7"/>
            <w:r>
              <w:rPr>
                <w:b/>
                <w:sz w:val="20"/>
              </w:rPr>
              <w:t>87-6878660</w:t>
            </w:r>
          </w:p>
        </w:tc>
      </w:tr>
      <w:tr>
        <w:trPr/>
        <w:tc>
          <w:tcPr>
            <w:tcW w:w="3125" w:type="dxa"/>
            <w:tcBorders/>
            <w:vAlign w:val="center"/>
          </w:tcPr>
          <w:p>
            <w:pPr>
              <w:pStyle w:val="TableContents"/>
              <w:bidi w:val="0"/>
              <w:spacing w:before="0" w:after="283"/>
              <w:jc w:val="center"/>
              <w:rPr>
                <w:b/>
              </w:rPr>
            </w:pPr>
            <w:r>
              <w:rPr>
                <w:b/>
              </w:rPr>
              <w:t>(State or other jurisdiction of</w:t>
            </w:r>
          </w:p>
        </w:tc>
        <w:tc>
          <w:tcPr>
            <w:tcW w:w="1385" w:type="dxa"/>
            <w:tcBorders/>
            <w:vAlign w:val="center"/>
          </w:tcPr>
          <w:p>
            <w:pPr>
              <w:pStyle w:val="TableContents"/>
              <w:bidi w:val="0"/>
              <w:spacing w:before="0" w:after="283"/>
              <w:jc w:val="center"/>
              <w:rPr>
                <w:b/>
              </w:rPr>
            </w:pPr>
            <w:r>
              <w:rPr>
                <w:b/>
              </w:rPr>
              <w:t>(Commission</w:t>
            </w:r>
          </w:p>
        </w:tc>
        <w:tc>
          <w:tcPr>
            <w:tcW w:w="2375" w:type="dxa"/>
            <w:tcBorders/>
            <w:vAlign w:val="center"/>
          </w:tcPr>
          <w:p>
            <w:pPr>
              <w:pStyle w:val="TableContents"/>
              <w:bidi w:val="0"/>
              <w:spacing w:before="0" w:after="283"/>
              <w:jc w:val="center"/>
              <w:rPr>
                <w:b/>
              </w:rPr>
            </w:pPr>
            <w:r>
              <w:rPr>
                <w:b/>
              </w:rPr>
              <w:t>(IRS Employer</w:t>
            </w:r>
          </w:p>
        </w:tc>
      </w:tr>
      <w:tr>
        <w:trPr/>
        <w:tc>
          <w:tcPr>
            <w:tcW w:w="3125" w:type="dxa"/>
            <w:tcBorders/>
            <w:vAlign w:val="center"/>
          </w:tcPr>
          <w:p>
            <w:pPr>
              <w:pStyle w:val="TableContents"/>
              <w:bidi w:val="0"/>
              <w:spacing w:before="0" w:after="283"/>
              <w:jc w:val="center"/>
              <w:rPr>
                <w:b/>
              </w:rPr>
            </w:pPr>
            <w:r>
              <w:rPr>
                <w:b/>
              </w:rPr>
              <w:t>incorporation or organization)</w:t>
            </w:r>
          </w:p>
        </w:tc>
        <w:tc>
          <w:tcPr>
            <w:tcW w:w="1385" w:type="dxa"/>
            <w:tcBorders/>
            <w:vAlign w:val="center"/>
          </w:tcPr>
          <w:p>
            <w:pPr>
              <w:pStyle w:val="TableContents"/>
              <w:bidi w:val="0"/>
              <w:spacing w:before="0" w:after="283"/>
              <w:jc w:val="center"/>
              <w:rPr>
                <w:b/>
              </w:rPr>
            </w:pPr>
            <w:r>
              <w:rPr>
                <w:b/>
              </w:rPr>
              <w:t>File Number)</w:t>
            </w:r>
          </w:p>
        </w:tc>
        <w:tc>
          <w:tcPr>
            <w:tcW w:w="2375" w:type="dxa"/>
            <w:tcBorders/>
            <w:vAlign w:val="center"/>
          </w:tcPr>
          <w:p>
            <w:pPr>
              <w:pStyle w:val="TableContents"/>
              <w:bidi w:val="0"/>
              <w:spacing w:before="0" w:after="283"/>
              <w:jc w:val="center"/>
              <w:rPr>
                <w:b/>
              </w:rPr>
            </w:pPr>
            <w:r>
              <w:rPr>
                <w:b/>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283"/>
              <w:jc w:val="center"/>
              <w:rPr>
                <w:b/>
                <w:sz w:val="20"/>
              </w:rPr>
            </w:pPr>
            <w:bookmarkStart w:id="8" w:name="xdx_901_edei--EntityAddressAddressLine1_"/>
            <w:bookmarkEnd w:id="8"/>
            <w:r>
              <w:rPr>
                <w:b/>
                <w:sz w:val="20"/>
              </w:rPr>
              <w:t xml:space="preserve">4400 Post Oak Parkway, </w:t>
            </w:r>
            <w:bookmarkStart w:id="9" w:name="xdx_90D_edei--EntityAddressAddressLine2_"/>
            <w:bookmarkEnd w:id="9"/>
            <w:r>
              <w:rPr>
                <w:b/>
                <w:sz w:val="20"/>
              </w:rPr>
              <w:t>Suite 2200</w:t>
            </w:r>
          </w:p>
        </w:tc>
        <w:tc>
          <w:tcPr>
            <w:tcW w:w="935"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283"/>
              <w:jc w:val="center"/>
              <w:rPr>
                <w:b/>
                <w:sz w:val="20"/>
              </w:rPr>
            </w:pPr>
            <w:bookmarkStart w:id="10" w:name="xdx_900_edei--EntityAddressCityOrTown_c2"/>
            <w:bookmarkEnd w:id="10"/>
            <w:r>
              <w:rPr>
                <w:b/>
                <w:sz w:val="20"/>
              </w:rPr>
              <w:t xml:space="preserve">Houston, </w:t>
            </w:r>
            <w:bookmarkStart w:id="11" w:name="xdx_903_edei--EntityAddressStateOrProvin"/>
            <w:bookmarkEnd w:id="11"/>
            <w:r>
              <w:rPr>
                <w:b/>
                <w:sz w:val="20"/>
              </w:rPr>
              <w:t>Texas</w:t>
            </w:r>
          </w:p>
        </w:tc>
        <w:tc>
          <w:tcPr>
            <w:tcW w:w="935" w:type="dxa"/>
            <w:tcBorders/>
            <w:vAlign w:val="center"/>
          </w:tcPr>
          <w:p>
            <w:pPr>
              <w:pStyle w:val="TableContents"/>
              <w:bidi w:val="0"/>
              <w:spacing w:before="0" w:after="283"/>
              <w:jc w:val="center"/>
              <w:rPr>
                <w:b/>
                <w:sz w:val="20"/>
              </w:rPr>
            </w:pPr>
            <w:bookmarkStart w:id="12" w:name="xdx_904_edei--EntityAddressPostalZipCode"/>
            <w:bookmarkEnd w:id="12"/>
            <w:r>
              <w:rPr>
                <w:b/>
                <w:sz w:val="20"/>
              </w:rPr>
              <w:t>77027</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2_edei--CityAreaCode_c20260616__20"/>
      <w:bookmarkEnd w:id="13"/>
      <w:r>
        <w:rPr>
          <w:rFonts w:ascii="Times New Roman;Times;Serif" w:hAnsi="Times New Roman;Times;Serif"/>
          <w:b/>
          <w:i w:val="false"/>
          <w:caps w:val="false"/>
          <w:smallCaps w:val="false"/>
          <w:sz w:val="20"/>
        </w:rPr>
        <w:t xml:space="preserve">713) </w:t>
      </w:r>
      <w:bookmarkStart w:id="14" w:name="xdx_903_edei--LocalPhoneNumber_c20260616"/>
      <w:bookmarkEnd w:id="14"/>
      <w:r>
        <w:rPr>
          <w:rFonts w:ascii="Times New Roman;Times;Serif" w:hAnsi="Times New Roman;Times;Serif"/>
          <w:b/>
          <w:i w:val="false"/>
          <w:caps w:val="false"/>
          <w:smallCaps w:val="false"/>
          <w:sz w:val="20"/>
        </w:rPr>
        <w:t>292-5400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B_edei--SolicitingMaterial_c202606"/>
            <w:bookmarkEnd w:id="16"/>
            <w:r>
              <w:rPr/>
              <w:t>☐</w:t>
            </w:r>
          </w:p>
        </w:tc>
        <w:tc>
          <w:tcPr>
            <w:tcW w:w="737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0_edei--PreCommencementIssuerTende"/>
            <w:bookmarkEnd w:id="18"/>
            <w:r>
              <w:rPr/>
              <w:t>☐</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28" w:type="dxa"/>
          <w:right w:w="0" w:type="dxa"/>
        </w:tblCellMar>
      </w:tblPr>
      <w:tblGrid>
        <w:gridCol w:w="1535"/>
        <w:gridCol w:w="60"/>
        <w:gridCol w:w="860"/>
        <w:gridCol w:w="60"/>
        <w:gridCol w:w="3710"/>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b/>
                <w:sz w:val="20"/>
              </w:rPr>
            </w:pPr>
            <w:r>
              <w:rPr>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pPr>
            <w:r>
              <w:rPr/>
              <w:t>N/A</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pPr>
            <w:r>
              <w:rPr/>
              <w:t>N/A</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pPr>
            <w:r>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4_edei--EntityEmergingGrowthCompan"/>
      <w:bookmarkEnd w:id="19"/>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3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02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3.02.</w:t>
            </w:r>
          </w:p>
        </w:tc>
        <w:tc>
          <w:tcPr>
            <w:tcW w:w="3995" w:type="dxa"/>
            <w:tcBorders/>
            <w:vAlign w:val="center"/>
          </w:tcPr>
          <w:p>
            <w:pPr>
              <w:pStyle w:val="TableContents"/>
              <w:bidi w:val="0"/>
              <w:spacing w:before="0" w:after="283"/>
              <w:jc w:val="left"/>
              <w:rPr/>
            </w:pPr>
            <w:r>
              <w:rPr>
                <w:b/>
              </w:rPr>
              <w:t>Unregistered Sale of Equity Securities.</w:t>
            </w: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Stellus Private Credit BDC (the “Company”) delivered a capital drawdown notice to its investors relating to the sale of 330,687 common shares of beneficial interest (the “Shares”) of the Company for an aggregate offering price of $5,000,000. No underwriting discounts or commissions have been or will be paid in connection with the sale of the Shares. The sale of the Shares is expected to close on or about June 30, 2026.</w:t>
      </w:r>
    </w:p>
    <w:p>
      <w:pPr>
        <w:pStyle w:val="TextBody"/>
        <w:bidi w:val="0"/>
        <w:spacing w:before="0" w:after="0"/>
        <w:ind w:left="712" w:right="712"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Shares described made pursuant to subscription agreements entered into by the Company and its investors. Under the terms of the subscription agreements, investors are required to fund drawdowns to purchase the Shares up to the amount of its capital commitment on an as-needed basis with a minimum of 10 business days’ prior notice to investors.</w:t>
      </w:r>
    </w:p>
    <w:p>
      <w:pPr>
        <w:pStyle w:val="TextBody"/>
        <w:bidi w:val="0"/>
        <w:spacing w:before="0" w:after="0"/>
        <w:ind w:left="712" w:right="712"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the Shares are exempt from the registration requirements of the Securities Act of 1933, as amended, pursuant to Section 4(a)(2) thereof and Regulation D thereunder.</w:t>
      </w:r>
    </w:p>
    <w:p>
      <w:pPr>
        <w:pStyle w:val="TextBody"/>
        <w:bidi w:val="0"/>
        <w:spacing w:before="0" w:after="0"/>
        <w:ind w:left="100" w:right="712" w:firstLine="50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Current Report on Form 8-K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50" w:type="dxa"/>
        <w:jc w:val="left"/>
        <w:tblInd w:w="0" w:type="dxa"/>
        <w:tblLayout w:type="fixed"/>
        <w:tblCellMar>
          <w:top w:w="0" w:type="dxa"/>
          <w:left w:w="0" w:type="dxa"/>
          <w:bottom w:w="0" w:type="dxa"/>
          <w:right w:w="0" w:type="dxa"/>
        </w:tblCellMar>
      </w:tblPr>
      <w:tblGrid>
        <w:gridCol w:w="1655"/>
        <w:gridCol w:w="320"/>
        <w:gridCol w:w="545"/>
        <w:gridCol w:w="5030"/>
      </w:tblGrid>
      <w:tr>
        <w:trPr/>
        <w:tc>
          <w:tcPr>
            <w:tcW w:w="1655" w:type="dxa"/>
            <w:tcBorders/>
            <w:vAlign w:val="center"/>
          </w:tcPr>
          <w:p>
            <w:pPr>
              <w:pStyle w:val="TableContents"/>
              <w:bidi w:val="0"/>
              <w:spacing w:before="0" w:after="283"/>
              <w:jc w:val="left"/>
              <w:rPr/>
            </w:pPr>
            <w:r>
              <w:rPr/>
              <w:t> </w:t>
            </w:r>
          </w:p>
        </w:tc>
        <w:tc>
          <w:tcPr>
            <w:tcW w:w="5895"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Stellus Private Credit bdc</w:t>
            </w:r>
          </w:p>
        </w:tc>
      </w:tr>
      <w:tr>
        <w:trPr/>
        <w:tc>
          <w:tcPr>
            <w:tcW w:w="1655" w:type="dxa"/>
            <w:tcBorders/>
            <w:vAlign w:val="center"/>
          </w:tcPr>
          <w:p>
            <w:pPr>
              <w:pStyle w:val="TableContents"/>
              <w:bidi w:val="0"/>
              <w:spacing w:before="0" w:after="283"/>
              <w:jc w:val="left"/>
              <w:rPr/>
            </w:pPr>
            <w:r>
              <w:rPr/>
              <w:t> </w:t>
            </w:r>
          </w:p>
        </w:tc>
        <w:tc>
          <w:tcPr>
            <w:tcW w:w="5895" w:type="dxa"/>
            <w:gridSpan w:val="3"/>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18,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 </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Chief Operating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539</Words>
  <Characters>2887</Characters>
  <CharactersWithSpaces>3440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