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CURRENT REPORT</w:t>
      </w:r>
    </w:p>
    <w:p>
      <w:pPr>
        <w:spacing w:after="0" w:line="166"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2, 2026 (June 30,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Stellus Private Credit BDC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9"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8"/>
          <w:szCs w:val="18"/>
          <w:b w:val="1"/>
          <w:bCs w:val="1"/>
          <w:color w:val="auto"/>
        </w:rPr>
        <w:t>000-56378</w:t>
      </w:r>
    </w:p>
    <w:p>
      <w:pPr>
        <w:spacing w:after="0" w:line="31"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87-6878660</w:t>
      </w:r>
    </w:p>
    <w:p>
      <w:pPr>
        <w:spacing w:after="0" w:line="3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7"/>
          <w:szCs w:val="17"/>
          <w:b w:val="1"/>
          <w:bCs w:val="1"/>
          <w:color w:val="auto"/>
        </w:rPr>
        <w:t>Identification Number)</w:t>
      </w:r>
    </w:p>
    <w:p>
      <w:pPr>
        <w:spacing w:after="0" w:line="211" w:lineRule="exact"/>
        <w:rPr>
          <w:sz w:val="24"/>
          <w:szCs w:val="24"/>
          <w:color w:val="auto"/>
        </w:rPr>
      </w:pPr>
    </w:p>
    <w:p>
      <w:pPr>
        <w:sectPr>
          <w:pgSz w:w="11900" w:h="16838" w:orient="portrait"/>
          <w:cols w:equalWidth="0" w:num="3">
            <w:col w:w="4400" w:space="720"/>
            <w:col w:w="2660" w:space="720"/>
            <w:col w:w="2740"/>
          </w:cols>
          <w:pgMar w:left="320" w:top="754" w:right="339" w:bottom="1440" w:gutter="0" w:footer="0" w:header="0"/>
          <w:type w:val="continuous"/>
        </w:sectPr>
      </w:pPr>
    </w:p>
    <w:p>
      <w:pPr>
        <w:spacing w:after="0" w:line="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4400 Post Oak Parkway, Suite 2200</w:t>
      </w:r>
    </w:p>
    <w:p>
      <w:pPr>
        <w:spacing w:after="0" w:line="31"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Houston, Texas</w:t>
      </w:r>
    </w:p>
    <w:p>
      <w:pPr>
        <w:spacing w:after="0" w:line="9"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8"/>
          <w:szCs w:val="18"/>
          <w:b w:val="1"/>
          <w:bCs w:val="1"/>
          <w:color w:val="auto"/>
        </w:rPr>
        <w:t>77027</w:t>
      </w:r>
    </w:p>
    <w:p>
      <w:pPr>
        <w:spacing w:after="0" w:line="31"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147" w:lineRule="exact"/>
        <w:rPr>
          <w:sz w:val="24"/>
          <w:szCs w:val="24"/>
          <w:color w:val="auto"/>
        </w:rPr>
      </w:pPr>
    </w:p>
    <w:p>
      <w:pPr>
        <w:sectPr>
          <w:pgSz w:w="11900" w:h="16838" w:orient="portrait"/>
          <w:cols w:equalWidth="0" w:num="2">
            <w:col w:w="7300" w:space="720"/>
            <w:col w:w="3220"/>
          </w:cols>
          <w:pgMar w:left="320" w:top="754" w:right="339" w:bottom="1440" w:gutter="0" w:footer="0" w:header="0"/>
          <w:type w:val="continuous"/>
        </w:sectPr>
      </w:pPr>
    </w:p>
    <w:p>
      <w:pPr>
        <w:ind w:left="306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(713) 292-5400</w:t>
      </w:r>
    </w:p>
    <w:p>
      <w:pPr>
        <w:spacing w:after="0" w:line="158" w:lineRule="exact"/>
        <w:rPr>
          <w:sz w:val="24"/>
          <w:szCs w:val="24"/>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342"/>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940" w:type="dxa"/>
            <w:vAlign w:val="bottom"/>
            <w:gridSpan w:val="2"/>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600" w:type="dxa"/>
            <w:vAlign w:val="bottom"/>
          </w:tcPr>
          <w:p>
            <w:pPr>
              <w:spacing w:after="0"/>
              <w:rPr>
                <w:sz w:val="24"/>
                <w:szCs w:val="24"/>
                <w:color w:val="auto"/>
              </w:rPr>
            </w:pPr>
          </w:p>
        </w:tc>
      </w:tr>
      <w:tr>
        <w:trPr>
          <w:trHeight w:val="238"/>
        </w:trPr>
        <w:tc>
          <w:tcPr>
            <w:tcW w:w="470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94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2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740" w:type="dxa"/>
            <w:vAlign w:val="bottom"/>
            <w:tcBorders>
              <w:top w:val="single" w:sz="8" w:color="auto"/>
            </w:tcBorders>
          </w:tcPr>
          <w:p>
            <w:pPr>
              <w:jc w:val="center"/>
              <w:ind w:right="77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r>
    </w:tbl>
    <w:p>
      <w:pPr>
        <w:spacing w:after="0" w:line="112"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7"/>
          <w:szCs w:val="17"/>
          <w:b w:val="1"/>
          <w:bCs w:val="1"/>
          <w:color w:val="auto"/>
        </w:rPr>
        <w:t>Unregistered Sale of Equity Securities.</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On June 30, 2026, Stellus Private Credit BDC (the “Company”) issued 47,747 common shares of beneficial interest (the “Shares”) of the Company for an aggregate offering price of $721,943.51. No underwriting discounts or commissions have been or will be paid in connection with the sale of the Shares.</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sale of the Shares described made pursuant to subscription agreements entered into by the Company and its investors. The issuance and sale of the Shares are exempt from the registration requirements of the Securities Act of 1933, as amended, pursuant to Section 4(a)(2) thereof and Regulation 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0"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Current Report on Form 8-K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776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STELLUS PRIVATE CREDIT BDC</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July 2, 2026</w:t>
            </w:r>
          </w:p>
        </w:tc>
        <w:tc>
          <w:tcPr>
            <w:tcW w:w="776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By: /s/ W. Todd Huskinson</w:t>
            </w:r>
          </w:p>
        </w:tc>
      </w:tr>
      <w:tr>
        <w:trPr>
          <w:trHeight w:val="191"/>
        </w:trPr>
        <w:tc>
          <w:tcPr>
            <w:tcW w:w="34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W. Todd Huskinson</w:t>
            </w:r>
          </w:p>
        </w:tc>
      </w:tr>
      <w:tr>
        <w:trPr>
          <w:trHeight w:val="234"/>
        </w:trPr>
        <w:tc>
          <w:tcPr>
            <w:tcW w:w="34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 Chief Operating Officer and Secretary</w:t>
            </w:r>
          </w:p>
        </w:tc>
      </w:tr>
      <w:tr>
        <w:trPr>
          <w:trHeight w:val="675"/>
        </w:trPr>
        <w:tc>
          <w:tcPr>
            <w:tcW w:w="34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2026-07-02T09:49:03Z</dcterms:created>
  <dcterms:modified xsi:type="dcterms:W3CDTF">2026-07-02T09:49:03Z</dcterms:modified>
</cp:coreProperties>
</file>