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2332d1_sctoia.htm"/>
      <w:bookmarkStart w:id="1" w:name="kstm2622332d1_sctoi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br/>
      </w: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TO</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TENDER OFFER STATEMENT UNDER SECTION 14(d)(1) OR 13(e)(1)</w:t>
        <w:br/>
        <w:t>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Stellus Private Credit BDC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Subject Company (Issuer))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Stellus Private Credit BDC</w:t>
        <w:br/>
      </w:r>
      <w:r>
        <w:rPr>
          <w:rFonts w:ascii="Times New Roman;Times;Serif" w:hAnsi="Times New Roman;Times;Serif"/>
          <w:b w:val="false"/>
          <w:i w:val="false"/>
          <w:caps w:val="false"/>
          <w:smallCaps w:val="false"/>
          <w:sz w:val="20"/>
        </w:rPr>
        <w:t>(Names of filing Person (Offeror and Issuer))</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of Beneficial Interest, Par Value $0.01 per share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T. Ladd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4400 Post Oak Parkway, Suite 2200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Houston, Texas 77027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(713) 292-5400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 authorized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receive notices and communications on behalf of filing person)</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Copy to:</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Stephani M. Hildebrandt, Esq.</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Eversheds Sutherland (US) LLP</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700 Sixth Street, NW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Washington, DC 20001</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 383-0100</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Check the box if filing relates solely to preliminary communications made before the commencement of a tender offer.</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boxes below to designate any transactions to which the statement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Third-party tender offer subject to Rule 14d-1.</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Issuer tender offer subject to Rule 13e-4.</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Going-private transaction subject to Rule 13e-3.</w:t>
      </w:r>
    </w:p>
    <w:p>
      <w:pPr>
        <w:pStyle w:val="TextBody"/>
        <w:bidi w:val="0"/>
        <w:spacing w:before="0" w:after="0"/>
        <w:ind w:left="72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Amendment to Schedule 13D under Rule 13d-2.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following box if the filing is a final amendment reporting the results of the tender offer: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check the appropriate box(es) below to designate the appropriate rule provision(s) relied upon: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Rule 13e-4(i) (Cross-Border Issuer Tender Offer)</w:t>
      </w:r>
    </w:p>
    <w:p>
      <w:pPr>
        <w:pStyle w:val="TextBody"/>
        <w:bidi w:val="0"/>
        <w:spacing w:before="0" w:after="0"/>
        <w:ind w:left="36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Rule 14d-1(d) (Cross-Border Third-Party Tender Offer)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TENDER OFFER STATEMENT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supplements and amends the Tender Offer Statement on Schedule TO and related exhibits included therein filed with the Securities and Exchange Commission on August 3, 2026 (the “</w:t>
      </w:r>
      <w:r>
        <w:rPr>
          <w:rFonts w:ascii="Times New Roman;Times;Serif" w:hAnsi="Times New Roman;Times;Serif"/>
          <w:b/>
          <w:i/>
          <w:caps w:val="false"/>
          <w:smallCaps w:val="false"/>
          <w:sz w:val="20"/>
        </w:rPr>
        <w:t>Tender Offer</w:t>
      </w:r>
      <w:r>
        <w:rPr>
          <w:rFonts w:ascii="Times New Roman;Times;Serif" w:hAnsi="Times New Roman;Times;Serif"/>
          <w:b w:val="false"/>
          <w:i w:val="false"/>
          <w:caps w:val="false"/>
          <w:smallCaps w:val="false"/>
          <w:sz w:val="20"/>
        </w:rPr>
        <w:t>”), by Stellus Private Credit BDC, a Delaware statutory trust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our</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we</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us</w:t>
      </w:r>
      <w:r>
        <w:rPr>
          <w:rFonts w:ascii="Times New Roman;Times;Serif" w:hAnsi="Times New Roman;Times;Serif"/>
          <w:b w:val="false"/>
          <w:i w:val="false"/>
          <w:caps w:val="false"/>
          <w:smallCaps w:val="false"/>
          <w:sz w:val="20"/>
        </w:rPr>
        <w:t>”), in connection with the offer by the Company to purchase up to 685,810.313 shares of our issued and outstanding common shares of beneficial interest, par value $0.01 per share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is being filed (i) to amend the record date to August 5, 2026 and (ii) to amend the amount of outstanding Shares as of August 5, 2026 to 13,721,863.258.</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this Amendment, all other terms of the Tender Offer, as described in the Original Offer to Purchase and related Letter of Transmittal, remain the same. Capitalized terms used herein and not otherwise defined have the meanings ascribed to such terms in the Offer to Purchase or the Schedule TO. This Amendment should be read together with the Schedule TO and the Offer to Purchase.</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is being filed in satisfaction of the requirements of Rule 13e-4 (c)(3) promulgated under the Securities Exchange Act of 1934, as amended.</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 Summary Term Sheet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Offer to Purchase and the related Letter of Transmittal is incorporated herein by reference into this Amendment.</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Terms of the Transaction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Offer to Purchase and the related Letter of Transmittal is incorporated herein by reference into this Amendment.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Persons/Assets, Retained, Employed, Compensated or Used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Offer to Purchase and the related Letter of Transmittal is incorporated herein by reference into this Amendment.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12(b). FILING FEE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Fee Exhibit</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INFORMATION REQUIRED BY SCHEDULE 13E-3.</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due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6, 2026</w:t>
      </w:r>
    </w:p>
    <w:p>
      <w:pPr>
        <w:pStyle w:val="TextBody"/>
        <w:bidi w:val="0"/>
        <w:spacing w:before="0" w:after="0"/>
        <w:ind w:left="0" w:right="0" w:hanging="0"/>
        <w:jc w:val="left"/>
        <w:rPr>
          <w:caps w:val="false"/>
          <w:smallCaps w:val="false"/>
        </w:rPr>
      </w:pPr>
      <w:r>
        <w:rPr>
          <w:caps w:val="false"/>
          <w:smallCaps w:val="false"/>
        </w:rPr>
        <w:t> </w:t>
      </w:r>
    </w:p>
    <w:tbl>
      <w:tblPr>
        <w:tblW w:w="6990" w:type="dxa"/>
        <w:jc w:val="left"/>
        <w:tblInd w:w="0" w:type="dxa"/>
        <w:tblLayout w:type="fixed"/>
        <w:tblCellMar>
          <w:top w:w="0" w:type="dxa"/>
          <w:left w:w="0" w:type="dxa"/>
          <w:bottom w:w="0" w:type="dxa"/>
          <w:right w:w="0" w:type="dxa"/>
        </w:tblCellMar>
      </w:tblPr>
      <w:tblGrid>
        <w:gridCol w:w="75"/>
        <w:gridCol w:w="320"/>
        <w:gridCol w:w="545"/>
        <w:gridCol w:w="6050"/>
      </w:tblGrid>
      <w:tr>
        <w:trPr/>
        <w:tc>
          <w:tcPr>
            <w:tcW w:w="75" w:type="dxa"/>
            <w:tcBorders/>
            <w:vAlign w:val="center"/>
          </w:tcPr>
          <w:p>
            <w:pPr>
              <w:pStyle w:val="TableContents"/>
              <w:bidi w:val="0"/>
              <w:spacing w:before="0" w:after="283"/>
              <w:jc w:val="left"/>
              <w:rPr/>
            </w:pPr>
            <w:r>
              <w:rPr/>
              <w:t> </w:t>
            </w:r>
          </w:p>
        </w:tc>
        <w:tc>
          <w:tcPr>
            <w:tcW w:w="6915" w:type="dxa"/>
            <w:gridSpan w:val="3"/>
            <w:tcBorders/>
            <w:vAlign w:val="center"/>
          </w:tcPr>
          <w:p>
            <w:pPr>
              <w:pStyle w:val="TableContents"/>
              <w:bidi w:val="0"/>
              <w:spacing w:before="0" w:after="283"/>
              <w:jc w:val="left"/>
              <w:rPr>
                <w:sz w:val="20"/>
              </w:rPr>
            </w:pPr>
            <w:r>
              <w:rPr>
                <w:sz w:val="20"/>
              </w:rPr>
              <w:t>STELLUS PRIVATE CREDIT BDC</w:t>
            </w:r>
          </w:p>
        </w:tc>
      </w:tr>
      <w:tr>
        <w:trPr/>
        <w:tc>
          <w:tcPr>
            <w:tcW w:w="75" w:type="dxa"/>
            <w:tcBorders/>
            <w:vAlign w:val="center"/>
          </w:tcPr>
          <w:p>
            <w:pPr>
              <w:pStyle w:val="TableContents"/>
              <w:bidi w:val="0"/>
              <w:spacing w:before="0" w:after="283"/>
              <w:jc w:val="left"/>
              <w:rPr/>
            </w:pPr>
            <w:r>
              <w:rPr/>
              <w:t> </w:t>
            </w:r>
          </w:p>
        </w:tc>
        <w:tc>
          <w:tcPr>
            <w:tcW w:w="865" w:type="dxa"/>
            <w:gridSpan w:val="2"/>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659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W. Todd Huskinson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6050" w:type="dxa"/>
            <w:tcBorders/>
            <w:vAlign w:val="center"/>
          </w:tcPr>
          <w:p>
            <w:pPr>
              <w:pStyle w:val="TableContents"/>
              <w:bidi w:val="0"/>
              <w:spacing w:before="0" w:after="283"/>
              <w:jc w:val="left"/>
              <w:rPr>
                <w:sz w:val="20"/>
              </w:rPr>
            </w:pPr>
            <w:r>
              <w:rPr>
                <w:sz w:val="20"/>
              </w:rPr>
              <w:t>W. Todd Huskinson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6050" w:type="dxa"/>
            <w:tcBorders/>
            <w:vAlign w:val="center"/>
          </w:tcPr>
          <w:p>
            <w:pPr>
              <w:pStyle w:val="TableContents"/>
              <w:bidi w:val="0"/>
              <w:spacing w:before="0" w:after="283"/>
              <w:jc w:val="left"/>
              <w:rPr>
                <w:sz w:val="20"/>
              </w:rPr>
            </w:pPr>
            <w:r>
              <w:rPr>
                <w:sz w:val="20"/>
              </w:rPr>
              <w:t>Chief Financial Officer, Chief Compliance Officer, Treasurer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3190</Characters>
  <CharactersWithSpaces>3809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