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69d1_sctoia.htm"/>
      <w:bookmarkStart w:id="1" w:name="kstm2624369d1_sctoia"/>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TENDER OFFER STATEMENT UNDER SECTION 14(d)(1) OR 13(e)(1)</w:t>
        <w:b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Stellus Private Credit BDC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Subject Company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Stellus Private Credit BDC</w:t>
        <w:br/>
      </w:r>
      <w:r>
        <w:rPr>
          <w:rFonts w:ascii="Times New Roman;Times;Serif" w:hAnsi="Times New Roman;Times;Serif"/>
          <w:b w:val="false"/>
          <w:i w:val="false"/>
          <w:caps w:val="false"/>
          <w:smallCaps w:val="false"/>
          <w:sz w:val="20"/>
        </w:rPr>
        <w:t>(Names of filing Person (Offeror and Issuer))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Beneficial Interest, Par Value $0.01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T. Ladd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4400 Post Oak Parkway, Suite 2200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292-5400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notices and communications on behalf of filing person)</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Stephani M. Hildebrandt,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Check the box if filing relates solely to preliminary communications made before the commencement of a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230"/>
        <w:gridCol w:w="464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Third-party tender offer subject to Rule 14d-1.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Issuer tender offer subject to Rule 13e-4.</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Going-private transaction subject to Rule 13e-3.</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Amendment to Schedule 13D under Rule 13d-2.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23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Rule 13e-4(i) (Cross-Border Issuer Tender Offer)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Rule 14d-1(d) (Cross-Border Third-Party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FINAL AMENDMENT TO TENDER OFFER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supplements and amends the Tender Offer Statement on Schedule TO filed with the Securities and Exchange Commission on August 3, 2026, by Stellus Private Credit BDC, a Delaware statutory trust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our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and Amendment No. 1 thereto filed by the Company with the SEC on August 6, 2026, in connection with the offer by the Company to purchase up to 685,810.313 shares of our issued and outstanding common shares of beneficial interest, par value $0.01 per share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tender offer was made upon and subject to the terms and conditions set forth in the Offer to Purchase, dated August 3, 2026, and the related Letter of Transmittal (together, the “</w:t>
      </w:r>
      <w:r>
        <w:rPr>
          <w:rFonts w:ascii="Times New Roman;Times;Serif" w:hAnsi="Times New Roman;Times;Serif"/>
          <w:b/>
          <w:i/>
          <w:caps w:val="false"/>
          <w:smallCaps w:val="false"/>
          <w:sz w:val="20"/>
        </w:rPr>
        <w:t>Offer</w:t>
      </w:r>
      <w:r>
        <w:rPr>
          <w:rFonts w:ascii="Times New Roman;Times;Serif" w:hAnsi="Times New Roman;Times;Serif"/>
          <w:b w:val="false"/>
          <w:i w:val="false"/>
          <w:caps w:val="false"/>
          <w:smallCaps w:val="false"/>
          <w:sz w:val="20"/>
        </w:rPr>
        <w:t>”). The Offer expired at 11:59 P.M., Eastern Time, on August 28, 2026 and approximately 372,766.00 Shares were validly tendered and not withdrawn pursuant to the Offer as of such date. The Company purchased all Shares validly tendered and not withdrawn at a price equal to $15.25 per Share for an aggregate purchase price of approximately $5,684,681.50.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12(b). FILING FEE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Fee Exhibit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INFORMATION REQUIRED BY SCHEDULE 13E-3.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 2026</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75"/>
        <w:gridCol w:w="320"/>
        <w:gridCol w:w="545"/>
        <w:gridCol w:w="6050"/>
      </w:tblGrid>
      <w:tr>
        <w:trPr/>
        <w:tc>
          <w:tcPr>
            <w:tcW w:w="75" w:type="dxa"/>
            <w:tcBorders/>
            <w:vAlign w:val="center"/>
          </w:tcPr>
          <w:p>
            <w:pPr>
              <w:pStyle w:val="TableContents"/>
              <w:bidi w:val="0"/>
              <w:spacing w:before="0" w:after="283"/>
              <w:jc w:val="left"/>
              <w:rPr/>
            </w:pPr>
            <w:r>
              <w:rPr/>
              <w:t> </w:t>
            </w:r>
          </w:p>
        </w:tc>
        <w:tc>
          <w:tcPr>
            <w:tcW w:w="691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STELLUS PRIVATE CREDIT BDC</w:t>
            </w:r>
          </w:p>
        </w:tc>
      </w:tr>
      <w:tr>
        <w:trPr/>
        <w:tc>
          <w:tcPr>
            <w:tcW w:w="75"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 Todd Huskinson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 Todd Huskinson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Chief Compliance Officer,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481</Words>
  <Characters>2584</Characters>
  <CharactersWithSpaces>3067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