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827-2_4aseq1.xml.htm"/>
      <w:bookmarkStart w:id="1" w:name="kstm26268272_4a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Ladd Robert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POST OAK PARKWAY, SUITE 2200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Stellus Private Credit BDC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Trustee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752"/>
        <w:gridCol w:w="131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2,527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15.25</w:t>
            </w:r>
          </w:p>
        </w:tc>
        <w:tc>
          <w:tcPr>
            <w:tcW w:w="13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43,038.48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amendment is being filed to update the disclosure in Table I, Columns 4 and 5 in the Form 4 previously filed on September 16, 2026 solely to correct a clerical error in the disclosure relating to the amount of shares acquired.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W. Todd Huskinson,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1515" TargetMode="External"/><Relationship Id="rId5" Type="http://schemas.openxmlformats.org/officeDocument/2006/relationships/hyperlink" Target="http://www.sec.gov/cgi-bin/browse-edgar?action=getcompany&amp;CIK=00019010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3296</Characters>
  <CharactersWithSpaces>3842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