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17, 2026 (June 16,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Stellus Capital Investment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9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814-00971</w:t>
            </w:r>
          </w:p>
        </w:tc>
        <w:tc>
          <w:tcPr>
            <w:tcW w:w="2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46-0937320</w:t>
            </w:r>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4"/>
        </w:trPr>
        <w:tc>
          <w:tcPr>
            <w:tcW w:w="4320" w:type="dxa"/>
            <w:vAlign w:val="bottom"/>
            <w:gridSpan w:val="3"/>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3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20" w:type="dxa"/>
            <w:vAlign w:val="bottom"/>
            <w:gridSpan w:val="3"/>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3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4400 Post Oak Parkway, Suite 2200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2"/>
        </w:trPr>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Houston, Texas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77027</w:t>
            </w:r>
          </w:p>
        </w:tc>
        <w:tc>
          <w:tcPr>
            <w:tcW w:w="26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 (713) 292-5400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0" w:type="dxa"/>
        <w:tblCellMar>
          <w:top w:w="0" w:type="dxa"/>
          <w:left w:w="0" w:type="dxa"/>
          <w:bottom w:w="0" w:type="dxa"/>
          <w:right w:w="0" w:type="dxa"/>
        </w:tblCellMar>
      </w:tblPr>
      <w:tr>
        <w:trPr>
          <w:trHeight w:val="199"/>
        </w:trPr>
        <w:tc>
          <w:tcPr>
            <w:tcW w:w="880" w:type="dxa"/>
            <w:vAlign w:val="bottom"/>
          </w:tcPr>
          <w:p>
            <w:pPr>
              <w:spacing w:after="0"/>
              <w:rPr>
                <w:sz w:val="17"/>
                <w:szCs w:val="17"/>
                <w:color w:val="auto"/>
              </w:rPr>
            </w:pPr>
          </w:p>
        </w:tc>
        <w:tc>
          <w:tcPr>
            <w:tcW w:w="3660" w:type="dxa"/>
            <w:vAlign w:val="bottom"/>
            <w:gridSpan w:val="2"/>
            <w:vMerge w:val="restart"/>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1380" w:type="dxa"/>
            <w:vAlign w:val="bottom"/>
            <w:gridSpan w:val="2"/>
          </w:tcPr>
          <w:p>
            <w:pPr>
              <w:spacing w:after="0"/>
              <w:rPr>
                <w:sz w:val="17"/>
                <w:szCs w:val="17"/>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60" w:type="dxa"/>
            <w:vAlign w:val="bottom"/>
            <w:gridSpan w:val="2"/>
            <w:vMerge w:val="continue"/>
          </w:tcPr>
          <w:p>
            <w:pPr>
              <w:spacing w:after="0"/>
              <w:rPr>
                <w:sz w:val="17"/>
                <w:szCs w:val="17"/>
                <w:color w:val="auto"/>
              </w:rPr>
            </w:pPr>
          </w:p>
        </w:tc>
        <w:tc>
          <w:tcPr>
            <w:tcW w:w="2080" w:type="dxa"/>
            <w:vAlign w:val="bottom"/>
            <w:tcBorders>
              <w:bottom w:val="single" w:sz="8" w:color="auto"/>
            </w:tcBorders>
            <w:gridSpan w:val="4"/>
          </w:tcPr>
          <w:p>
            <w:pPr>
              <w:jc w:val="center"/>
              <w:ind w:right="1300"/>
              <w:spacing w:after="0" w:line="196" w:lineRule="exact"/>
              <w:rPr>
                <w:sz w:val="20"/>
                <w:szCs w:val="20"/>
                <w:color w:val="auto"/>
              </w:rPr>
            </w:pPr>
            <w:r>
              <w:rPr>
                <w:rFonts w:ascii="Times New Roman" w:cs="Times New Roman" w:eastAsia="Times New Roman" w:hAnsi="Times New Roman"/>
                <w:sz w:val="18"/>
                <w:szCs w:val="18"/>
                <w:b w:val="1"/>
                <w:bCs w:val="1"/>
                <w:color w:val="auto"/>
              </w:rPr>
              <w:t>Symbol(s)</w:t>
            </w:r>
          </w:p>
        </w:tc>
        <w:tc>
          <w:tcPr>
            <w:tcW w:w="3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0" w:type="dxa"/>
            <w:vAlign w:val="bottom"/>
          </w:tcPr>
          <w:p>
            <w:pPr>
              <w:spacing w:after="0"/>
              <w:rPr>
                <w:sz w:val="20"/>
                <w:szCs w:val="20"/>
                <w:color w:val="auto"/>
              </w:rPr>
            </w:pPr>
          </w:p>
        </w:tc>
        <w:tc>
          <w:tcPr>
            <w:tcW w:w="20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SCM</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Stellus Capital Investment Corporation (the “Company”) held its Annual Meeting of Stockholders on June 16, 2026 (the “Annual Meeting”). At the Annual Meeting, the Company submitted two proposals to the vote of the stockholders, which are described in detail in the Company’s proxy statement dated April 16, 2026. As of April 15, 2026, the record date for the Annual Meeting, 28,947,255 shares of common stock were eligible to be voted.</w:t>
      </w:r>
    </w:p>
    <w:p>
      <w:pPr>
        <w:spacing w:after="0" w:line="15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On June 16, 2026, the proposals were submitted to the vote of the stockholders. Of the shares eligible to be voted, 15,974,326 were voted in person or by proxy in connection with the proposals.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proposals submitted to a vote of the stockholders of the Company at the Annual Meeting was approved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elected Bruce R. Bilger as director to serve for a three year term, or until his successor is duly elected and 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votes were taken in connection with this proposal: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Votes For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Votes Withheld</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Bilger</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13,650,012</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2,122,882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of the New Investment Advisory Agreement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proposal to approve a new investment advisory agreement between the Company and Stellus Capital Management, LLC was approved. The following votes were taken in connection with this proposal: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Stockholders</w:t>
            </w: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14,244,374</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721,794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806,722</w:t>
            </w:r>
          </w:p>
        </w:tc>
      </w:tr>
      <w:tr>
        <w:trPr>
          <w:trHeight w:val="675"/>
        </w:trPr>
        <w:tc>
          <w:tcPr>
            <w:tcW w:w="29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b w:val="1"/>
          <w:bCs w:val="1"/>
          <w:color w:val="auto"/>
        </w:rPr>
        <w:t>Stellus Capital Investment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2026-06-17T06:02:36Z</dcterms:created>
  <dcterms:modified xsi:type="dcterms:W3CDTF">2026-06-17T06:02:36Z</dcterms:modified>
</cp:coreProperties>
</file>