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18175-2_4seq1.xml.htm"/>
      <w:bookmarkStart w:id="1" w:name="kstm26181752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Ladd Robert T.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4400 POST OAK PARKWAY, SUITE 2200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77027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Stellus Private Credit BDC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NONE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 and President</w:t>
                  </w:r>
                  <w:r>
                    <w:rPr/>
                    <w:t xml:space="preserve"> / </w:t>
                  </w: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Trustee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8"/>
        <w:gridCol w:w="902"/>
        <w:gridCol w:w="772"/>
        <w:gridCol w:w="599"/>
        <w:gridCol w:w="344"/>
        <w:gridCol w:w="832"/>
        <w:gridCol w:w="443"/>
        <w:gridCol w:w="748"/>
        <w:gridCol w:w="1396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1,469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15.12</w:t>
            </w:r>
            <w:r>
              <w:rPr/>
              <w:t xml:space="preserve"> </w:t>
            </w:r>
          </w:p>
        </w:tc>
        <w:tc>
          <w:tcPr>
            <w:tcW w:w="13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39,681.852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number of shares includes shares acquired pursuant to the Stellus Private Credit BDC automatic dividend reinvestment plan ("DRIP"), exempt under Rule 16a-11.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W. Todd Huskinson,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61515" TargetMode="External"/><Relationship Id="rId5" Type="http://schemas.openxmlformats.org/officeDocument/2006/relationships/hyperlink" Target="http://www.sec.gov/cgi-bin/browse-edgar?action=getcompany&amp;CIK=000190103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590</Words>
  <Characters>3216</Characters>
  <CharactersWithSpaces>3748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