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CURRENT REPORT</w:t>
      </w:r>
    </w:p>
    <w:p>
      <w:pPr>
        <w:spacing w:after="0" w:line="166"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17, 2026 (June 16,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Stellus Private Credit BDC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p>
      <w:pPr>
        <w:spacing w:after="0" w:line="200" w:lineRule="exact"/>
        <w:rPr>
          <w:sz w:val="24"/>
          <w:szCs w:val="24"/>
          <w:color w:val="auto"/>
        </w:rPr>
      </w:pPr>
    </w:p>
    <w:p>
      <w:pPr>
        <w:spacing w:after="0" w:line="23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000-56378</w:t>
      </w:r>
    </w:p>
    <w:p>
      <w:pPr>
        <w:spacing w:after="0" w:line="31"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87-6878660</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7"/>
          <w:szCs w:val="17"/>
          <w:b w:val="1"/>
          <w:bCs w:val="1"/>
          <w:color w:val="auto"/>
        </w:rPr>
        <w:t>Identification Number)</w:t>
      </w:r>
    </w:p>
    <w:p>
      <w:pPr>
        <w:spacing w:after="0" w:line="211" w:lineRule="exact"/>
        <w:rPr>
          <w:sz w:val="24"/>
          <w:szCs w:val="24"/>
          <w:color w:val="auto"/>
        </w:rPr>
      </w:pPr>
    </w:p>
    <w:p>
      <w:pPr>
        <w:sectPr>
          <w:pgSz w:w="11900" w:h="16838" w:orient="portrait"/>
          <w:cols w:equalWidth="0" w:num="3">
            <w:col w:w="4400" w:space="720"/>
            <w:col w:w="2660" w:space="720"/>
            <w:col w:w="2740"/>
          </w:cols>
          <w:pgMar w:left="320" w:top="754" w:right="339" w:bottom="1440" w:gutter="0" w:footer="0" w:header="0"/>
          <w:type w:val="continuous"/>
        </w:sectPr>
      </w:pPr>
    </w:p>
    <w:p>
      <w:pPr>
        <w:spacing w:after="0" w:line="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4400 Post Oak Parkway, Suite 2200</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Houston, Texas</w:t>
      </w:r>
    </w:p>
    <w:p>
      <w:pPr>
        <w:spacing w:after="0" w:line="9"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8"/>
          <w:szCs w:val="18"/>
          <w:b w:val="1"/>
          <w:bCs w:val="1"/>
          <w:color w:val="auto"/>
        </w:rPr>
        <w:t>77027</w:t>
      </w:r>
    </w:p>
    <w:p>
      <w:pPr>
        <w:spacing w:after="0" w:line="31"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147" w:lineRule="exact"/>
        <w:rPr>
          <w:sz w:val="24"/>
          <w:szCs w:val="24"/>
          <w:color w:val="auto"/>
        </w:rPr>
      </w:pPr>
    </w:p>
    <w:p>
      <w:pPr>
        <w:sectPr>
          <w:pgSz w:w="11900" w:h="16838" w:orient="portrait"/>
          <w:cols w:equalWidth="0" w:num="2">
            <w:col w:w="7300" w:space="720"/>
            <w:col w:w="3220"/>
          </w:cols>
          <w:pgMar w:left="320" w:top="754" w:right="339" w:bottom="1440" w:gutter="0" w:footer="0" w:header="0"/>
          <w:type w:val="continuous"/>
        </w:sectPr>
      </w:pPr>
    </w:p>
    <w:p>
      <w:pPr>
        <w:ind w:left="306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292-5400</w:t>
      </w:r>
    </w:p>
    <w:p>
      <w:pPr>
        <w:spacing w:after="0" w:line="158" w:lineRule="exact"/>
        <w:rPr>
          <w:sz w:val="24"/>
          <w:szCs w:val="24"/>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342"/>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940" w:type="dxa"/>
            <w:vAlign w:val="bottom"/>
            <w:gridSpan w:val="2"/>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spacing w:after="0"/>
              <w:rPr>
                <w:sz w:val="24"/>
                <w:szCs w:val="24"/>
                <w:color w:val="auto"/>
              </w:rPr>
            </w:pPr>
          </w:p>
        </w:tc>
      </w:tr>
      <w:tr>
        <w:trPr>
          <w:trHeight w:val="238"/>
        </w:trPr>
        <w:tc>
          <w:tcPr>
            <w:tcW w:w="4700" w:type="dxa"/>
            <w:vAlign w:val="bottom"/>
            <w:gridSpan w:val="3"/>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940" w:type="dxa"/>
            <w:vAlign w:val="bottom"/>
            <w:gridSpan w:val="2"/>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22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740" w:type="dxa"/>
            <w:vAlign w:val="bottom"/>
            <w:tcBorders>
              <w:top w:val="single" w:sz="8" w:color="auto"/>
            </w:tcBorders>
          </w:tcPr>
          <w:p>
            <w:pPr>
              <w:jc w:val="center"/>
              <w:ind w:right="770"/>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r>
    </w:tbl>
    <w:p>
      <w:pPr>
        <w:spacing w:after="0" w:line="11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Stellus Private Credit BDC (the “Company”) held a Special Meeting of Shareholders on June 16, 2026 (the “Special Meeting”). At the Special Meeting, the Company submitted one proposal to the vote of the shareholders, which is described in detail in the Company’s proxy statement dated April 16, 2026. As of April 15, 2026, the record date for the Special Meeting, 12,973,271 common shares of beneficial interest were eligible to be voted.</w:t>
      </w:r>
    </w:p>
    <w:p>
      <w:pPr>
        <w:spacing w:after="0" w:line="17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June 16, 2026, the proposals were submitted to the vote of the shareholders. Of the shares eligible to be voted, 10,314,546 were voted in person or by proxy in connection with the proposals.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proposal submitted to a vote of the shareholders of the Company at the Special Meeting was approved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Approval of the New Investment Advisory Agreement</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proposal to approve a new investment advisory agreement between the Company and Stellus Private BDC Advisor, LLC was approved. The following votes were taken in connection with this proposal:</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2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Shareholders</w:t>
            </w:r>
          </w:p>
        </w:tc>
        <w:tc>
          <w:tcPr>
            <w:tcW w:w="246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10,314,546</w:t>
            </w:r>
          </w:p>
        </w:tc>
        <w:tc>
          <w:tcPr>
            <w:tcW w:w="1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auto"/>
            </w:tcBorders>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0</w:t>
            </w:r>
          </w:p>
        </w:tc>
      </w:tr>
      <w:tr>
        <w:trPr>
          <w:trHeight w:val="675"/>
        </w:trPr>
        <w:tc>
          <w:tcPr>
            <w:tcW w:w="36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Current Report on Form 8-K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STELLUS PRIVATE CREDIT BDC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17,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W. Todd Huskinson</w:t>
            </w:r>
          </w:p>
        </w:tc>
      </w:tr>
      <w:tr>
        <w:trPr>
          <w:trHeight w:val="191"/>
        </w:trPr>
        <w:tc>
          <w:tcPr>
            <w:tcW w:w="35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W. Todd Huskinson</w:t>
            </w:r>
          </w:p>
        </w:tc>
      </w:tr>
      <w:tr>
        <w:trPr>
          <w:trHeight w:val="234"/>
        </w:trPr>
        <w:tc>
          <w:tcPr>
            <w:tcW w:w="3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675"/>
        </w:trPr>
        <w:tc>
          <w:tcPr>
            <w:tcW w:w="35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2026-06-17T06:02:37Z</dcterms:created>
  <dcterms:modified xsi:type="dcterms:W3CDTF">2026-06-17T06:02:37Z</dcterms:modified>
</cp:coreProperties>
</file>