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588-1_4seq1.xml.htm"/>
      <w:bookmarkStart w:id="1" w:name="kstm262558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Arnoult J Tim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STELLUS CAPITAL INVESTMENT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POST OAK PARKWAY, SUITE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Stellus Capital Investment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53,569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shown in Column 4 is the weighted average purchase price, rounded to the nearest hundredth, of the shares of common stock of Stellus Capital Investment Corporation (the "Issuer"), par value $0.001 per share, on the transaction date. The price range for the purchases is $7.955 to $7.9777 per share. The Reporting Person undertakes to provide upon request by the staff of the Securities and Exchange Commission, the Issuer or a security holder of the Issuer full information regarding the number of shares purchased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W. Todd Huskinson,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3472" TargetMode="External"/><Relationship Id="rId5" Type="http://schemas.openxmlformats.org/officeDocument/2006/relationships/hyperlink" Target="http://www.sec.gov/cgi-bin/browse-edgar?action=getcompany&amp;CIK=00015519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3562</Characters>
  <CharactersWithSpaces>4154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