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827-1_4aseq1.xml.htm"/>
      <w:bookmarkStart w:id="1" w:name="kstm26268271_4a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Huskinson W.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POST OAK PARKWAY, SUITE 2200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Stellus Private Credit BDC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CCO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06"/>
        <w:gridCol w:w="456"/>
        <w:gridCol w:w="756"/>
        <w:gridCol w:w="1240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15.25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6,200.32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amendment is being filed to update the disclosure in Table I, Columns 4 and 5 in the Form 4 previously filed on September 16, 2026 solely to correct a clerical error in the disclosure relating to the amount of shares acquired.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W. Todd Huskinson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513" TargetMode="External"/><Relationship Id="rId5" Type="http://schemas.openxmlformats.org/officeDocument/2006/relationships/hyperlink" Target="http://www.sec.gov/cgi-bin/browse-edgar?action=getcompany&amp;CIK=00019010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3275</Characters>
  <CharactersWithSpaces>3819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