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tm2621448d1_40appa.htm"/>
      <w:bookmarkStart w:id="1" w:name="kstm2621448d1_40appa"/>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812-15763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Matter of the Application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Stellus Capital Investment Corporation, Stellus Private Credit BDC, Stellus Capital SBIC LP, Stellus Capital SBIC II, LP, Stellus Capital SBIC III, LP, SCIC-SKP Blocker 1, Inc., SCIC-ERC Blocker 1, Inc., SCIC-Consolidated Blocker, Inc., SCIC – CC Blocker 1, Inc., SCIC – APE Blocker 1, Inc., SCIC – Hollander Blocker 1, Inc., SCIC-Invincible Blocker 1, Inc., SCIC-Venbrook Blocker 1, Inc., PBDC Consolidated Blocker, LLC, Stellus Private Credit BDC SPV LLC, Stellus Credit Master Fund I, LLC, Stellus Credit VCOC Fund I, LLC, Stellus Credit Master Fund II, LLC, Stellus Credit VCOC Fund II, LLC, Stellus Credit Master Fund III, LLC, Stellus Credit VCOC Fund III, LLC, Stellus Senior Secured Loan Fund, LLC, Stellus Credit Funds Investor A, LLC, Stellus Credit Funds Investor B, LP, Stellus Credit Master Fund IV, LLC, Stellus Credit VCOC Fund IV, LLC, Stellus Credit Funds Investor C, LLC, Stellus Private BDC Advisor, LLC, and Stellus Capital Management,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 Post Oak Parkway, Suite 2200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77027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292-5400</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AMENDED AND RESTATED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Communications, Notices and Orders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T. Ladd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Stellus Capital Investment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4400 Post Oak Parkway, Suite 2200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TX 77027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 292-5400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rladd@stelluscapital.com</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Stephani M. Hildebrandt,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 G. Oberndorf,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Eversheds Sutherland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 Sixth Street, N.W.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383-0100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anneoberndorf@eversheds-sutherland.com</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 SUMMARY OF APPLICATION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entities hereby request an order (the “</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of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Section 57(i) of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Rule 17d-1, permitting certain joint transactions otherwise prohibited by Sections 17(d) and 57(a)(4) of the 1940 Act and Rule 17d-1 thereunder. The Order would supersede the exemptive order issued by the Commission on November 13, 2024 (the “</w:t>
      </w:r>
      <w:r>
        <w:rPr>
          <w:rFonts w:ascii="Times New Roman;Times;Serif" w:hAnsi="Times New Roman;Times;Serif"/>
          <w:b/>
          <w:i/>
          <w:caps w:val="false"/>
          <w:smallCaps w:val="false"/>
          <w:sz w:val="20"/>
        </w:rPr>
        <w:t>Prior Order</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that was granted pursuant to Sections 57(a)(4), 57(i) and Rule 17d-1, with the result that no person will continue to rely on the Prior Order if the Order is granted.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Capital Investment Corporation (“</w:t>
            </w:r>
            <w:r>
              <w:rPr>
                <w:b/>
                <w:i/>
              </w:rPr>
              <w:t>SCIC</w:t>
            </w:r>
            <w:r>
              <w:rPr/>
              <w:t>”), a corporation formed under the General Corporate Laws of the State of Maryland for the purpose of operating as an externally managed, non-diversified, closed-end management investment company that has elected to be regulated as a business development company under the 1940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Private Credit BDC (“</w:t>
            </w:r>
            <w:r>
              <w:rPr>
                <w:b/>
                <w:i/>
              </w:rPr>
              <w:t>SPBDC</w:t>
            </w:r>
            <w:r>
              <w:rPr/>
              <w:t>” and together with SCIC, the “</w:t>
            </w:r>
            <w:r>
              <w:rPr>
                <w:b/>
                <w:i/>
              </w:rPr>
              <w:t>Existing Regulated Funds</w:t>
            </w:r>
            <w:r>
              <w:rPr/>
              <w:t>”), a Delaware statutory trust formed for the purpose of operating as an externally managed, non-diversified, closed-end management investment company that has elected to be regulated as a business development company under the 1940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following investment vehicles, each of which is a separate and distinct legal entity and each of which would be an investment company but for Section 3(c)(1) or 3(c)(7) of the 1940 Act (the “</w:t>
            </w:r>
            <w:r>
              <w:rPr>
                <w:b/>
                <w:i/>
              </w:rPr>
              <w:t>Existing Affiliated Funds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405"/>
        <w:gridCol w:w="9691"/>
      </w:tblGrid>
      <w:tr>
        <w:trPr/>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691" w:type="dxa"/>
            <w:tcBorders/>
            <w:vAlign w:val="center"/>
          </w:tcPr>
          <w:p>
            <w:pPr>
              <w:pStyle w:val="TableContents"/>
              <w:bidi w:val="0"/>
              <w:spacing w:before="0" w:after="283"/>
              <w:jc w:val="left"/>
              <w:rPr/>
            </w:pPr>
            <w:r>
              <w:rPr/>
              <w:t>Stellus Credit Master Fund I, LLC;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400"/>
        <w:gridCol w:w="9697"/>
      </w:tblGrid>
      <w:tr>
        <w:trPr/>
        <w:tc>
          <w:tcPr>
            <w:tcW w:w="10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697" w:type="dxa"/>
            <w:tcBorders/>
            <w:vAlign w:val="center"/>
          </w:tcPr>
          <w:p>
            <w:pPr>
              <w:pStyle w:val="TableContents"/>
              <w:bidi w:val="0"/>
              <w:spacing w:before="0" w:after="283"/>
              <w:jc w:val="left"/>
              <w:rPr/>
            </w:pPr>
            <w:r>
              <w:rPr/>
              <w:t>Stellus Credit VCOC Fund I, LLC;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397"/>
        <w:gridCol w:w="9701"/>
      </w:tblGrid>
      <w:tr>
        <w:trPr/>
        <w:tc>
          <w:tcPr>
            <w:tcW w:w="10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701" w:type="dxa"/>
            <w:tcBorders/>
            <w:vAlign w:val="center"/>
          </w:tcPr>
          <w:p>
            <w:pPr>
              <w:pStyle w:val="TableContents"/>
              <w:bidi w:val="0"/>
              <w:spacing w:before="0" w:after="283"/>
              <w:jc w:val="left"/>
              <w:rPr/>
            </w:pPr>
            <w:r>
              <w:rPr/>
              <w:t>Stellus Credit Master Fund II, LLC;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391"/>
        <w:gridCol w:w="9708"/>
      </w:tblGrid>
      <w:tr>
        <w:trPr/>
        <w:tc>
          <w:tcPr>
            <w:tcW w:w="1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708" w:type="dxa"/>
            <w:tcBorders/>
            <w:vAlign w:val="center"/>
          </w:tcPr>
          <w:p>
            <w:pPr>
              <w:pStyle w:val="TableContents"/>
              <w:bidi w:val="0"/>
              <w:spacing w:before="0" w:after="283"/>
              <w:jc w:val="left"/>
              <w:rPr/>
            </w:pPr>
            <w:r>
              <w:rPr/>
              <w:t>Stellus Credit VCOC Fund II, LLC;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388"/>
        <w:gridCol w:w="9712"/>
      </w:tblGrid>
      <w:tr>
        <w:trPr/>
        <w:tc>
          <w:tcPr>
            <w:tcW w:w="10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712" w:type="dxa"/>
            <w:tcBorders/>
            <w:vAlign w:val="center"/>
          </w:tcPr>
          <w:p>
            <w:pPr>
              <w:pStyle w:val="TableContents"/>
              <w:bidi w:val="0"/>
              <w:spacing w:before="0" w:after="283"/>
              <w:jc w:val="left"/>
              <w:rPr/>
            </w:pPr>
            <w:r>
              <w:rPr/>
              <w:t>Stellus Credit Master Fund III, LLC;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383"/>
        <w:gridCol w:w="9718"/>
      </w:tblGrid>
      <w:tr>
        <w:trPr/>
        <w:tc>
          <w:tcPr>
            <w:tcW w:w="10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718" w:type="dxa"/>
            <w:tcBorders/>
            <w:vAlign w:val="center"/>
          </w:tcPr>
          <w:p>
            <w:pPr>
              <w:pStyle w:val="TableContents"/>
              <w:bidi w:val="0"/>
              <w:spacing w:before="0" w:after="283"/>
              <w:jc w:val="left"/>
              <w:rPr/>
            </w:pPr>
            <w:r>
              <w:rPr/>
              <w:t>Stellus Credit VCOC Fund III, LLC;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385"/>
        <w:gridCol w:w="9716"/>
      </w:tblGrid>
      <w:tr>
        <w:trPr/>
        <w:tc>
          <w:tcPr>
            <w:tcW w:w="10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716" w:type="dxa"/>
            <w:tcBorders/>
            <w:vAlign w:val="center"/>
          </w:tcPr>
          <w:p>
            <w:pPr>
              <w:pStyle w:val="TableContents"/>
              <w:bidi w:val="0"/>
              <w:spacing w:before="0" w:after="283"/>
              <w:jc w:val="left"/>
              <w:rPr/>
            </w:pPr>
            <w:r>
              <w:rPr/>
              <w:t>Stellus Credit Master Fund IV, LLC;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380"/>
        <w:gridCol w:w="9722"/>
      </w:tblGrid>
      <w:tr>
        <w:trPr/>
        <w:tc>
          <w:tcPr>
            <w:tcW w:w="10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722" w:type="dxa"/>
            <w:tcBorders/>
            <w:vAlign w:val="center"/>
          </w:tcPr>
          <w:p>
            <w:pPr>
              <w:pStyle w:val="TableContents"/>
              <w:bidi w:val="0"/>
              <w:spacing w:before="0" w:after="283"/>
              <w:jc w:val="left"/>
              <w:rPr/>
            </w:pPr>
            <w:r>
              <w:rPr/>
              <w:t>Stellus Credit VCOC Fund IV, LLC;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349"/>
        <w:gridCol w:w="9762"/>
      </w:tblGrid>
      <w:tr>
        <w:trPr/>
        <w:tc>
          <w:tcPr>
            <w:tcW w:w="9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762" w:type="dxa"/>
            <w:tcBorders/>
            <w:vAlign w:val="center"/>
          </w:tcPr>
          <w:p>
            <w:pPr>
              <w:pStyle w:val="TableContents"/>
              <w:bidi w:val="0"/>
              <w:spacing w:before="0" w:after="283"/>
              <w:jc w:val="left"/>
              <w:rPr/>
            </w:pPr>
            <w:r>
              <w:rPr/>
              <w:t>Stellus Senior Secured Loan Fund, LLC;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372"/>
        <w:gridCol w:w="9733"/>
      </w:tblGrid>
      <w:tr>
        <w:trPr/>
        <w:tc>
          <w:tcPr>
            <w:tcW w:w="10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733" w:type="dxa"/>
            <w:tcBorders/>
            <w:vAlign w:val="center"/>
          </w:tcPr>
          <w:p>
            <w:pPr>
              <w:pStyle w:val="TableContents"/>
              <w:bidi w:val="0"/>
              <w:spacing w:before="0" w:after="283"/>
              <w:jc w:val="left"/>
              <w:rPr/>
            </w:pPr>
            <w:r>
              <w:rPr/>
              <w:t>Stellus Credit Funds Investor A, LLC;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353"/>
        <w:gridCol w:w="9757"/>
      </w:tblGrid>
      <w:tr>
        <w:trPr/>
        <w:tc>
          <w:tcPr>
            <w:tcW w:w="9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757" w:type="dxa"/>
            <w:tcBorders/>
            <w:vAlign w:val="center"/>
          </w:tcPr>
          <w:p>
            <w:pPr>
              <w:pStyle w:val="TableContents"/>
              <w:bidi w:val="0"/>
              <w:spacing w:before="0" w:after="283"/>
              <w:jc w:val="left"/>
              <w:rPr/>
            </w:pPr>
            <w:r>
              <w:rPr/>
              <w:t>Stellus Credit Funds Investor B, LP;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373"/>
        <w:gridCol w:w="9731"/>
      </w:tblGrid>
      <w:tr>
        <w:trPr/>
        <w:tc>
          <w:tcPr>
            <w:tcW w:w="10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731" w:type="dxa"/>
            <w:tcBorders/>
            <w:vAlign w:val="center"/>
          </w:tcPr>
          <w:p>
            <w:pPr>
              <w:pStyle w:val="TableContents"/>
              <w:bidi w:val="0"/>
              <w:spacing w:before="0" w:after="283"/>
              <w:jc w:val="left"/>
              <w:rPr/>
            </w:pPr>
            <w:r>
              <w:rPr/>
              <w:t>Stellus Credit Funds Investor C, LLC;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Certain vehicles (as identified on </w:t>
            </w:r>
            <w:r>
              <w:rPr>
                <w:u w:val="single"/>
              </w:rPr>
              <w:t>Schedule A</w:t>
            </w:r>
            <w:r>
              <w:rPr/>
              <w:t xml:space="preserve"> hereto) (the “</w:t>
            </w:r>
            <w:r>
              <w:rPr>
                <w:b/>
                <w:i/>
              </w:rPr>
              <w:t>Existing Wholly-Owned Subsidiaries</w:t>
            </w:r>
            <w:r>
              <w:rPr/>
              <w:t>”), each of which is a separate and distinct legal entity and each of which is a Wholly-Owned Investment Sub (as defined below) of an Existing Regulated Fund;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Private BDC Advisor, LLC, SPBDC’s investment adviser (“</w:t>
            </w:r>
            <w:r>
              <w:rPr>
                <w:b/>
                <w:i/>
              </w:rPr>
              <w:t>SPBDC Advisor</w:t>
            </w:r>
            <w:r>
              <w:rPr/>
              <w:t>”), on behalf of itself and its successors;</w:t>
            </w:r>
            <w:r>
              <w:rPr>
                <w:rFonts w:ascii="Times New Roman;Times;Serif" w:hAnsi="Times New Roman;Times;Serif"/>
                <w:position w:val="8"/>
                <w:sz w:val="19"/>
              </w:rPr>
              <w:t>3</w:t>
            </w:r>
            <w:r>
              <w:rPr/>
              <w:t xml:space="preserv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Capital Management, LLC (“</w:t>
            </w:r>
            <w:r>
              <w:rPr>
                <w:b/>
                <w:i/>
              </w:rPr>
              <w:t>SCM</w:t>
            </w:r>
            <w:r>
              <w:rPr/>
              <w:t>” and together with SPBDC Advisor, the “</w:t>
            </w:r>
            <w:r>
              <w:rPr>
                <w:b/>
                <w:i/>
              </w:rPr>
              <w:t>Existing Advisers</w:t>
            </w:r>
            <w:r>
              <w:rPr/>
              <w:t>”), the investment adviser to SCIC and each of the Existing Affiliated Funds, on behalf of itself and its successors (the Existing Advisers together with SCIC, SPBDC, the Existing Affiliated Funds and the Existing Wholly-Owned Subsidiaries, the “</w:t>
            </w:r>
            <w:r>
              <w:rPr>
                <w:b/>
                <w:i/>
              </w:rPr>
              <w:t>Applicants</w:t>
            </w:r>
            <w:r>
              <w:rPr/>
              <w:t>”);</w:t>
            </w:r>
            <w:r>
              <w:rPr>
                <w:rFonts w:ascii="Times New Roman;Times;Serif" w:hAnsi="Times New Roman;Times;Serif"/>
                <w:position w:val="8"/>
                <w:sz w:val="19"/>
              </w:rPr>
              <w:t>4</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Unless otherwise indicated, all section and rule references herein are to the 1940 Act and rules promulgated thereunder.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Stellus Capital Investment Corporation, et al.</w:t>
      </w:r>
      <w:r>
        <w:rPr>
          <w:rFonts w:ascii="Times New Roman;Times;Serif" w:hAnsi="Times New Roman;Times;Serif"/>
          <w:b w:val="false"/>
          <w:i w:val="false"/>
          <w:caps w:val="false"/>
          <w:smallCaps w:val="false"/>
          <w:sz w:val="20"/>
        </w:rPr>
        <w:t xml:space="preserve"> (File No. 812-15255), Release No. IC-34556 (April 11, 2022) (notice) and Release No. IC-34579 (May 9, 2022) (order).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The term “</w:t>
      </w:r>
      <w:r>
        <w:rPr>
          <w:rFonts w:ascii="Times New Roman;Times;Serif" w:hAnsi="Times New Roman;Times;Serif"/>
          <w:b/>
          <w:i/>
          <w:caps w:val="false"/>
          <w:smallCaps w:val="false"/>
          <w:sz w:val="20"/>
        </w:rPr>
        <w:t>successor</w:t>
      </w:r>
      <w:r>
        <w:rPr>
          <w:rFonts w:ascii="Times New Roman;Times;Serif" w:hAnsi="Times New Roman;Times;Serif"/>
          <w:b w:val="false"/>
          <w:i w:val="false"/>
          <w:caps w:val="false"/>
          <w:smallCaps w:val="false"/>
          <w:sz w:val="20"/>
        </w:rPr>
        <w:t>” means an entity that results from a reorganization into another jurisdiction or change in the type of business organization.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All existing entities that currently intend to rely upon the requested Order have been named as Applicants. Any other existing or future entity that subsequently relies on the Order will comply with the terms and conditions of the Application.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relief requested in this application for the Order (the “</w:t>
      </w:r>
      <w:r>
        <w:rPr>
          <w:rFonts w:ascii="Times New Roman;Times;Serif" w:hAnsi="Times New Roman;Times;Serif"/>
          <w:b/>
          <w:i/>
          <w:caps w:val="false"/>
          <w:smallCaps w:val="false"/>
          <w:sz w:val="20"/>
        </w:rPr>
        <w:t>Application</w:t>
      </w:r>
      <w:r>
        <w:rPr>
          <w:rFonts w:ascii="Times New Roman;Times;Serif" w:hAnsi="Times New Roman;Times;Serif"/>
          <w:b w:val="false"/>
          <w:i w:val="false"/>
          <w:caps w:val="false"/>
          <w:smallCaps w:val="false"/>
          <w:sz w:val="20"/>
        </w:rPr>
        <w:t>”) would allow a Regulated Fund</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and one or more Affiliated Entities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to engage in Co-Investment Transactions</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subject to the terms and conditions described herein. The Regulated Funds and Affiliated Entities that participate in a Co-Investment Transaction are collectively referred to herein as “</w:t>
      </w:r>
      <w:r>
        <w:rPr>
          <w:rFonts w:ascii="Times New Roman;Times;Serif" w:hAnsi="Times New Roman;Times;Serif"/>
          <w:b/>
          <w:i/>
          <w:caps w:val="false"/>
          <w:smallCaps w:val="false"/>
          <w:sz w:val="20"/>
        </w:rPr>
        <w:t>Participants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The Applicants do not seek relief for transactions effected consistent with Commission staff no-action positions.</w:t>
      </w:r>
      <w:r>
        <w:rPr>
          <w:rFonts w:ascii="Times New Roman;Times;Serif" w:hAnsi="Times New Roman;Times;Serif"/>
          <w:b w:val="false"/>
          <w:i w:val="false"/>
          <w:caps w:val="false"/>
          <w:smallCaps w:val="false"/>
          <w:position w:val="7"/>
          <w:sz w:val="16"/>
          <w:sz w:val="2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Regulated Fund</w:t>
      </w:r>
      <w:r>
        <w:rPr>
          <w:rFonts w:ascii="Times New Roman;Times;Serif" w:hAnsi="Times New Roman;Times;Serif"/>
          <w:b w:val="false"/>
          <w:i w:val="false"/>
          <w:caps w:val="false"/>
          <w:smallCaps w:val="false"/>
          <w:sz w:val="20"/>
        </w:rPr>
        <w:t>” means the Existing Regulated Funds and any Future Regulated Funds. “</w:t>
      </w:r>
      <w:r>
        <w:rPr>
          <w:rFonts w:ascii="Times New Roman;Times;Serif" w:hAnsi="Times New Roman;Times;Serif"/>
          <w:b/>
          <w:i/>
          <w:caps w:val="false"/>
          <w:smallCaps w:val="false"/>
          <w:sz w:val="20"/>
        </w:rPr>
        <w:t>Future Regulated Fund</w:t>
      </w:r>
      <w:r>
        <w:rPr>
          <w:rFonts w:ascii="Times New Roman;Times;Serif" w:hAnsi="Times New Roman;Times;Serif"/>
          <w:b w:val="false"/>
          <w:i w:val="false"/>
          <w:caps w:val="false"/>
          <w:smallCaps w:val="false"/>
          <w:sz w:val="20"/>
        </w:rPr>
        <w:t>”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Times;Serif" w:hAnsi="Times New Roman;Times;Serif"/>
          <w:b/>
          <w:i/>
          <w:caps w:val="false"/>
          <w:smallCaps w:val="false"/>
          <w:sz w:val="20"/>
        </w:rPr>
        <w:t>Wholly-Owned Investment Sub</w:t>
      </w:r>
      <w:r>
        <w:rPr>
          <w:rFonts w:ascii="Times New Roman;Times;Serif" w:hAnsi="Times New Roman;Times;Serif"/>
          <w:b w:val="false"/>
          <w:i w:val="false"/>
          <w:caps w:val="false"/>
          <w:smallCaps w:val="false"/>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Times;Serif" w:hAnsi="Times New Roman;Times;Serif"/>
          <w:b/>
          <w:i/>
          <w:caps w:val="false"/>
          <w:smallCaps w:val="false"/>
          <w:sz w:val="20"/>
        </w:rPr>
        <w:t>Joint Venture</w:t>
      </w:r>
      <w:r>
        <w:rPr>
          <w:rFonts w:ascii="Times New Roman;Times;Serif" w:hAnsi="Times New Roman;Times;Serif"/>
          <w:b w:val="false"/>
          <w:i w:val="false"/>
          <w:caps w:val="false"/>
          <w:smallCaps w:val="false"/>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Times;Serif" w:hAnsi="Times New Roman;Times;Serif"/>
          <w:b/>
          <w:i/>
          <w:caps w:val="false"/>
          <w:smallCaps w:val="false"/>
          <w:sz w:val="20"/>
        </w:rPr>
        <w:t>BDC Downstream Fund</w:t>
      </w:r>
      <w:r>
        <w:rPr>
          <w:rFonts w:ascii="Times New Roman;Times;Serif" w:hAnsi="Times New Roman;Times;Serif"/>
          <w:b w:val="false"/>
          <w:i w:val="false"/>
          <w:caps w:val="false"/>
          <w:smallCaps w:val="false"/>
          <w:sz w:val="20"/>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Affiliated Entity</w:t>
      </w:r>
      <w:r>
        <w:rPr>
          <w:rFonts w:ascii="Times New Roman;Times;Serif" w:hAnsi="Times New Roman;Times;Serif"/>
          <w:b w:val="false"/>
          <w:i w:val="false"/>
          <w:caps w:val="false"/>
          <w:smallCaps w:val="false"/>
          <w:sz w:val="20"/>
        </w:rPr>
        <w:t>”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 entity described in clause (b) is not advised by an Adviser, such entity shall be deemed to be an Adviser for purposes of the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Co-Investment Transaction</w:t>
      </w:r>
      <w:r>
        <w:rPr>
          <w:rFonts w:ascii="Times New Roman;Times;Serif" w:hAnsi="Times New Roman;Times;Serif"/>
          <w:b w:val="false"/>
          <w:i w:val="false"/>
          <w:caps w:val="false"/>
          <w:smallCaps w:val="false"/>
          <w:sz w:val="20"/>
        </w:rPr>
        <w:t>” means the acquisition or Disposition of securities of an issuer in a transaction effected in reliance on the Order or previously granted relief.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Adviser</w:t>
      </w:r>
      <w:r>
        <w:rPr>
          <w:rFonts w:ascii="Times New Roman;Times;Serif" w:hAnsi="Times New Roman;Times;Serif"/>
          <w:b w:val="false"/>
          <w:i w:val="false"/>
          <w:caps w:val="false"/>
          <w:smallCaps w:val="false"/>
          <w:sz w:val="20"/>
        </w:rPr>
        <w:t>” means SPBDC Advisor, SCM, and any other investment adviser controlling, controlled by, or under common control with SPBDC Advisor and/or SCM. The term “Adviser” also includes any internally-managed Regulated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Massachusetts Mutual Life Insurance Co. (pub. avail. June 7, 2000), Massachusetts Mutual Life Insurance Co. (pub. avail. July 28, 2000) and SMC Capital, Inc. (pub. avail. Sept. 5,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GENERAL DESCRIPTION OF THE APPLICANTS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SCIC</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 was organized as a corporation under the General Corporate Laws of the State of Maryland on May 18, 2012 for the purpose of operating as an externally managed, non-diversified, closed-end management investment company that has elected to be regulated as a business development company under the 1940 Act. In connection with its initial public offering of common stock (the “</w:t>
      </w:r>
      <w:r>
        <w:rPr>
          <w:rFonts w:ascii="Times New Roman;Times;Serif" w:hAnsi="Times New Roman;Times;Serif"/>
          <w:b/>
          <w:i/>
          <w:caps w:val="false"/>
          <w:smallCaps w:val="false"/>
          <w:sz w:val="20"/>
        </w:rPr>
        <w:t>IPO</w:t>
      </w:r>
      <w:r>
        <w:rPr>
          <w:rFonts w:ascii="Times New Roman;Times;Serif" w:hAnsi="Times New Roman;Times;Serif"/>
          <w:b w:val="false"/>
          <w:i w:val="false"/>
          <w:caps w:val="false"/>
          <w:smallCaps w:val="false"/>
          <w:sz w:val="20"/>
        </w:rPr>
        <w:t>”), on September 28, 2012, SCIC filed a registration statement on Form N-2, as subsequently amended and supplemented. On November 7, 2012, SCIC filed a notice under Form N-54A to be subject to Sections 55 through 65 of the Act and filed a registration statement on Form 8-A to register its common stock under Section 12 of the Securities Exchange Act of 1934, as amended (the “</w:t>
      </w:r>
      <w:r>
        <w:rPr>
          <w:rFonts w:ascii="Times New Roman;Times;Serif" w:hAnsi="Times New Roman;Times;Serif"/>
          <w:b/>
          <w:i/>
          <w:caps w:val="false"/>
          <w:smallCaps w:val="false"/>
          <w:sz w:val="20"/>
        </w:rPr>
        <w:t>1934 Act</w:t>
      </w:r>
      <w:r>
        <w:rPr>
          <w:rFonts w:ascii="Times New Roman;Times;Serif" w:hAnsi="Times New Roman;Times;Serif"/>
          <w:b w:val="false"/>
          <w:i w:val="false"/>
          <w:caps w:val="false"/>
          <w:smallCaps w:val="false"/>
          <w:sz w:val="20"/>
        </w:rPr>
        <w:t>”). Accordingly, SCIC is subject to the periodic reporting requirements under Section 13(a) of the 1934 Act. SCIC’s common stock is listed on the New York Stock Exchange under the symbol “SCM”. SCIC’s principal place of business is 4400 Post Oak Parkway, Suite 2200, Houston, TX 77027. SCIC has elected to be treated for U.S. Federal tax purposes as a regulated investment company (“</w:t>
      </w:r>
      <w:r>
        <w:rPr>
          <w:rFonts w:ascii="Times New Roman;Times;Serif" w:hAnsi="Times New Roman;Times;Serif"/>
          <w:b/>
          <w:i/>
          <w:caps w:val="false"/>
          <w:smallCaps w:val="false"/>
          <w:sz w:val="20"/>
        </w:rPr>
        <w:t>RIC</w:t>
      </w:r>
      <w:r>
        <w:rPr>
          <w:rFonts w:ascii="Times New Roman;Times;Serif" w:hAnsi="Times New Roman;Times;Serif"/>
          <w:b w:val="false"/>
          <w:i w:val="false"/>
          <w:caps w:val="false"/>
          <w:smallCaps w:val="false"/>
          <w:sz w:val="20"/>
        </w:rPr>
        <w:t>”) under Subchapter M of the Code, and intends to continue to maintain its qualification as a RIC in the future.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objective of SCIC is to maximize the total return to its stockholders in the form of current income and capital appreciation through debt and related equity investments in middle-market companies. SCIC seeks to achieve its investment objective by originating and investing primarily in private U.S. middle-market companies (typically those with $5.0 million to $50.0 million of EBITDA (earnings before interest, taxes, depreciation and amortization)), with a focus on investing through first lien (including unitranche) loans, often with a corresponding equity investment. SCIC’s business and affairs are managed under the direction of its board of directors (the “</w:t>
      </w:r>
      <w:r>
        <w:rPr>
          <w:rFonts w:ascii="Times New Roman;Times;Serif" w:hAnsi="Times New Roman;Times;Serif"/>
          <w:b/>
          <w:i/>
          <w:caps w:val="false"/>
          <w:smallCaps w:val="false"/>
          <w:sz w:val="20"/>
        </w:rPr>
        <w:t>SCIC Board</w:t>
      </w:r>
      <w:r>
        <w:rPr>
          <w:rFonts w:ascii="Times New Roman;Times;Serif" w:hAnsi="Times New Roman;Times;Serif"/>
          <w:b w:val="false"/>
          <w:i w:val="false"/>
          <w:caps w:val="false"/>
          <w:smallCaps w:val="false"/>
          <w:sz w:val="20"/>
        </w:rPr>
        <w:t>”). The SCIC Board consists of five members, of which three members are not “interested persons” of SCIC within the meaning of Section 2(a)(19) of the 1940 Act (the “</w:t>
      </w:r>
      <w:r>
        <w:rPr>
          <w:rFonts w:ascii="Times New Roman;Times;Serif" w:hAnsi="Times New Roman;Times;Serif"/>
          <w:b/>
          <w:i/>
          <w:caps w:val="false"/>
          <w:smallCaps w:val="false"/>
          <w:sz w:val="20"/>
        </w:rPr>
        <w:t>Independent Directors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10</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SPBDC</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SPBDC was organized as a Delaware statutory trust formed for the purpose of operating as an externally managed, non-diversified, closed-end management investment company that has elected to be regulated as a business development company under the Act. On December 22, 2021, SPBDC filed a registration statement on Form 10 to register the shares of its common stock pursuant to Section 12(g) of the 1934 Act. SPBDC is offering on a continuous basis an unlimited number of its common shares of beneficial interest (“</w:t>
      </w:r>
      <w:r>
        <w:rPr>
          <w:rFonts w:ascii="Times New Roman;Times;Serif" w:hAnsi="Times New Roman;Times;Serif"/>
          <w:b/>
          <w:i/>
          <w:caps w:val="false"/>
          <w:smallCaps w:val="false"/>
          <w:sz w:val="20"/>
        </w:rPr>
        <w:t>Common Shares</w:t>
      </w:r>
      <w:r>
        <w:rPr>
          <w:rFonts w:ascii="Times New Roman;Times;Serif" w:hAnsi="Times New Roman;Times;Serif"/>
          <w:b w:val="false"/>
          <w:i w:val="false"/>
          <w:caps w:val="false"/>
          <w:smallCaps w:val="false"/>
          <w:sz w:val="20"/>
        </w:rPr>
        <w:t>”) in connection with which it intends to enter into subscription agreements to issue and sell shares of its Common Shares under the exemption provided by Section 4(a)(2)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only to investors that are “accredited investors” in accordance with Rule 506(b) of Regulation D promulgated under the Securities Act, and other exemptions of similar import in the laws of the states and jurisdictions where the offering will be made. SPBDC’s principal place of business is 4400 Post Oak Parkway, Suite 2200, Houston, TX 77027. SPBDC has elected to be treated for U.S. federal income tax purposes as a RIC under Subchapter M of the Code, and intends to continue to maintain its qualification as a RIC in the future.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SPBDC’s investment objective is to maximize the total return to its stockholders in the form of current income and capital appreciation. SPBDC will aim to achieve its investment objectives by providing loans to lower middle market companies in the U.S. SPBDC’s business and affairs are managed under the direction of its board of trustees (the “</w:t>
      </w:r>
      <w:r>
        <w:rPr>
          <w:rFonts w:ascii="Times New Roman;Times;Serif" w:hAnsi="Times New Roman;Times;Serif"/>
          <w:b/>
          <w:i/>
          <w:caps w:val="false"/>
          <w:smallCaps w:val="false"/>
          <w:sz w:val="20"/>
        </w:rPr>
        <w:t>SPBDC Board</w:t>
      </w:r>
      <w:r>
        <w:rPr>
          <w:rFonts w:ascii="Times New Roman;Times;Serif" w:hAnsi="Times New Roman;Times;Serif"/>
          <w:b w:val="false"/>
          <w:i w:val="false"/>
          <w:caps w:val="false"/>
          <w:smallCaps w:val="false"/>
          <w:sz w:val="20"/>
        </w:rPr>
        <w:t>” and together with the SCIC Board and any Future Regulated Fund’s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The SPBDC Board consists of five members, of which three members are Independent Directors.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60" w:after="60"/>
        <w:ind w:left="0" w:right="0" w:firstLine="49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The Board of each Future Regulated Fund will consist of a majority of members who are not “interested persons” of such Future Regulated Fund within the meaning of Section 2(a)(19) of the Act.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Existing Affiliated Funds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Affiliated Funds were each formed as follows:</w:t>
      </w:r>
    </w:p>
    <w:p>
      <w:pPr>
        <w:pStyle w:val="TextBody"/>
        <w:bidi w:val="0"/>
        <w:spacing w:before="0" w:after="0"/>
        <w:ind w:left="0" w:right="0" w:firstLine="49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Credit Master Fund I, LLC, a Delaware limited liability company formed on October 1, 2013;</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Credit VCOC Fund I, LLC, a Delaware limited liability company formed on October 1, 2013;</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Credit Master Fund II, LLC, a Delaware limited liability company formed on October 7, 2015;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Credit VCOC Fund II, LLC, a Delaware limited liability company formed on October 7, 2015;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Credit Master Fund III, LLC, a Delaware limited liability company formed on July 21, 2020;</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Credit VCOC Fund III, LLC, a Delaware limited liability company formed on July 21, 2020;</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Credit Master Fund IV, LLC, a Delaware limited liability company formed on August 25, 2023;</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Credit VCOC Fund IV, LLC, a Delaware limited liability company formed on August 25, 2023.</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Senior Secured Loan Fund, LLC, a Delaware limited liability company formed on January 18, 2019;</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Credit Funds Investor A, LLC, a Delaware limited liability company formed on June 2, 2021;</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Credit Funds Investor B, LP, a Cayman Islands exempted limited partnership formed on December 8, 2021;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Stellus Credit Funds Investor C, LLC, a Delaware limited liability company formed on August 29,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objective of each Existing Affiliated Fund is to maximize total return to its investors in the form of current income and capital appreciation by primarily investing in private middle-market companies (typically with $5 million to $50 million of EBITDA) through first lien, second lien, unitranche and mezzanine debt financings, often with corresponding equity investments. Each Existing Affiliated Fund is a separate and distinct legal entity and each relies on the exclusion from the status as an investment company under the 1940 Act provided by Section 3(c)(1) or 3(c)(7).</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Each Existing Affiliated Fund is advised by SCM.</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Existing Wholly-Owned Subsidiaries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Existing Wholly-Owned Subsidiaries is a direct or indirect wholly-owned subsidiary of an Existing Regulated Fund whose sole business purpose is to hold one or more investments on behalf of such Existing Regulated Fund. Each of the Existing Wholly-Owned Subsidiaries is a separate and distinct legal entity. The Existing Wholly-Owned Subsidiaries have investment objectives and strategies that are substantially the same as, or a subset of, those of the applicable Existing Regulated Fund. The Existing Wholly-Owned Subsidiaries are not registered under the 1940 Act because each of the Existing Wholly-Owned Subsidiaries relies on the exclusion from the definition of “investment company” contained in Section 3(c)(7) of the 1940 Act.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SPBDC Advisor</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SPBDC Advisor, a majority-owned subsidiary of SCM, was organized as a limited liability company under the laws of the state of Delaware and is privately held. SPBDC Advisor is registered with the Commission pursuant to Section 203 of the Investment Advisers Act of 1940, as amended (the “</w:t>
      </w:r>
      <w:r>
        <w:rPr>
          <w:rFonts w:ascii="Times New Roman;Times;Serif" w:hAnsi="Times New Roman;Times;Serif"/>
          <w:b/>
          <w:i/>
          <w:caps w:val="false"/>
          <w:smallCaps w:val="false"/>
          <w:sz w:val="20"/>
        </w:rPr>
        <w:t>Advisers Act</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SPBDC Advisor serves as investment adviser to SPBDC pursuant to an investment advisory agreement. SPBDC Advisor reviews investments with respect to SPBDC and determines if SPBDC should invest in a new portfolio company and, if so, to what extent.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SCM</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SCM was organized as a limited liability company under the laws of the state of Delaware and is privately held. SCM is registered with the Commission pursuant to Section 203 of the Advisers Act.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SCM serves as investment adviser to SCIC pursuant to an investment advisory agreement and also serves as investment adviser to each Existing Affiliated Fund. SCM reviews investments with respect to SCIC and the Existing Affiliated Funds and determines whether or not each entity should invest in a new portfolio company and, if so, to what extent.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In the future, each Existing Affiliated Fund may register as an investment company under the 1940 Act and, if so registered, will be considered a Regulated Fund for purposes of this Application.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ORDER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request an Order of the Commission under Sections 17(d) and 57(i) of the 1940 Act and Rule 17d-1 thereunder to permit, subject to the terms and conditions set forth below in this Application (the “</w:t>
      </w:r>
      <w:r>
        <w:rPr>
          <w:rFonts w:ascii="Times New Roman;Times;Serif" w:hAnsi="Times New Roman;Times;Serif"/>
          <w:b/>
          <w:i/>
          <w:caps w:val="false"/>
          <w:smallCaps w:val="false"/>
          <w:sz w:val="20"/>
        </w:rPr>
        <w:t>Conditions</w:t>
      </w:r>
      <w:r>
        <w:rPr>
          <w:rFonts w:ascii="Times New Roman;Times;Serif" w:hAnsi="Times New Roman;Times;Serif"/>
          <w:b w:val="false"/>
          <w:i w:val="false"/>
          <w:caps w:val="false"/>
          <w:smallCaps w:val="false"/>
          <w:sz w:val="20"/>
        </w:rPr>
        <w:t>”), each Regulated Fund to be able to participate with one or more Affiliated Entities in Co-Investment Transactions otherwise prohibited by Sections 17(d) and 57(a)(4) of the 1940 Act and Rule 17d-1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Applicable Law</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in which the fund is a participant without first obtaining an order from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Need for Relief</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fund or closed-end fund, or a business development company, respectively, including a sub-adviser. Thus, an Adviser and any Affiliated Entities that it advises could be deemed to be persons related to Regulated Funds in a manner described by Sections 17(d) and 57(b). SPBDC Advisor is majority-owned by SCM and each are thus affiliated persons of each other. Accordingly, with respect to SCM, SPBDC Advisor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SCM, SPBDC Advisor,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17d-l under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Conditions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agree that any Order granting the requested relief will be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Same Terms</w:t>
      </w:r>
      <w:r>
        <w:rPr>
          <w:rFonts w:ascii="Times New Roman;Times;Serif" w:hAnsi="Times New Roman;Times;Serif"/>
          <w:b w:val="false"/>
          <w:i w:val="false"/>
          <w:caps w:val="false"/>
          <w:smallCaps w:val="false"/>
          <w:sz w:val="20"/>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Times;Serif" w:hAnsi="Times New Roman;Times;Serif"/>
          <w:b w:val="false"/>
          <w:i w:val="false"/>
          <w:caps w:val="false"/>
          <w:smallCaps w:val="false"/>
          <w:position w:val="7"/>
          <w:sz w:val="16"/>
          <w:sz w:val="20"/>
        </w:rPr>
        <w:t>13</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Existing Investments in the Issuer</w:t>
      </w:r>
      <w:r>
        <w:rPr>
          <w:rFonts w:ascii="Times New Roman;Times;Serif" w:hAnsi="Times New Roman;Times;Serif"/>
          <w:b w:val="false"/>
          <w:i w:val="false"/>
          <w:caps w:val="false"/>
          <w:smallCaps w:val="false"/>
          <w:sz w:val="20"/>
        </w:rPr>
        <w:t>. Prior to a Regulated Fund acquiring in a Co-Investment Transaction a security of an issuer in which an Affiliated Entity has an existing interest in such issuer, the “required majority,” as defined in Section 57(o) of the 1940 Act,</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of the Regulated Fund (“</w:t>
      </w:r>
      <w:r>
        <w:rPr>
          <w:rFonts w:ascii="Times New Roman;Times;Serif" w:hAnsi="Times New Roman;Times;Serif"/>
          <w:b/>
          <w:i/>
          <w:caps w:val="false"/>
          <w:smallCaps w:val="false"/>
          <w:sz w:val="20"/>
        </w:rPr>
        <w:t>Required Majority</w:t>
      </w:r>
      <w:r>
        <w:rPr>
          <w:rFonts w:ascii="Times New Roman;Times;Serif" w:hAnsi="Times New Roman;Times;Serif"/>
          <w:b w:val="false"/>
          <w:i w:val="false"/>
          <w:caps w:val="false"/>
          <w:smallCaps w:val="false"/>
          <w:sz w:val="20"/>
        </w:rPr>
        <w:t>”) will take the steps set forth in Section 57(f) of the 1940 Act,</w:t>
      </w: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Related Expenses</w:t>
      </w:r>
      <w:r>
        <w:rPr>
          <w:rFonts w:ascii="Times New Roman;Times;Serif" w:hAnsi="Times New Roman;Times;Serif"/>
          <w:b w:val="false"/>
          <w:i w:val="false"/>
          <w:caps w:val="false"/>
          <w:smallCaps w:val="false"/>
          <w:sz w:val="20"/>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Times;Serif" w:hAnsi="Times New Roman;Times;Serif"/>
          <w:b w:val="false"/>
          <w:i w:val="false"/>
          <w:caps w:val="false"/>
          <w:smallCaps w:val="false"/>
          <w:position w:val="7"/>
          <w:sz w:val="16"/>
          <w:sz w:val="20"/>
        </w:rPr>
        <w:t>16</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 Remuneration</w:t>
      </w:r>
      <w:r>
        <w:rPr>
          <w:rFonts w:ascii="Times New Roman;Times;Serif" w:hAnsi="Times New Roman;Times;Serif"/>
          <w:b w:val="false"/>
          <w:i w:val="false"/>
          <w:caps w:val="false"/>
          <w:smallCaps w:val="false"/>
          <w:sz w:val="20"/>
        </w:rPr>
        <w:t>. Any transaction fee</w:t>
      </w: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60" w:after="60"/>
        <w:ind w:left="0" w:right="0" w:firstLine="49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Such a Board can also, consistent with applicable fund documents, facilitate this opportunity by delegating the authority to veto the selection of such person to a committee of the Board.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 scheduled meeting.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Expenses of an individual Participant that are incurred solely by the Participant due to its unique circumstances (such as legal and compliance expenses) will be borne by such Participant.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 xml:space="preserve"> Applicants are not requesting and the Commission is not providing any relief for transaction fees received in connection with any Co-Investment Transaction.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Co-Investment Policies</w:t>
      </w:r>
      <w:r>
        <w:rPr>
          <w:rFonts w:ascii="Times New Roman;Times;Serif" w:hAnsi="Times New Roman;Times;Serif"/>
          <w:b w:val="false"/>
          <w:i w:val="false"/>
          <w:caps w:val="false"/>
          <w:smallCaps w:val="false"/>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Times;Serif" w:hAnsi="Times New Roman;Times;Serif"/>
          <w:b/>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provide its Co-Investment Policies to the Regulated Funds and will notify the Regulated Funds of any material changes thereto.</w:t>
      </w:r>
      <w:r>
        <w:rPr>
          <w:rFonts w:ascii="Times New Roman;Times;Serif" w:hAnsi="Times New Roman;Times;Serif"/>
          <w:b w:val="false"/>
          <w:i w:val="false"/>
          <w:caps w:val="false"/>
          <w:smallCaps w:val="false"/>
          <w:position w:val="7"/>
          <w:sz w:val="16"/>
          <w:sz w:val="20"/>
        </w:rPr>
        <w:t>18</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Dispositions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any Disposition</w:t>
      </w:r>
      <w:r>
        <w:rPr>
          <w:rFonts w:ascii="Times New Roman;Times;Serif" w:hAnsi="Times New Roman;Times;Serif"/>
          <w:b w:val="false"/>
          <w:i w:val="false"/>
          <w:caps w:val="false"/>
          <w:smallCaps w:val="false"/>
          <w:position w:val="7"/>
          <w:sz w:val="16"/>
          <w:sz w:val="20"/>
        </w:rPr>
        <w:t>19</w:t>
      </w:r>
      <w:r>
        <w:rPr>
          <w:rFonts w:ascii="Times New Roman;Times;Serif" w:hAnsi="Times New Roman;Times;Serif"/>
          <w:b w:val="false"/>
          <w:i w:val="false"/>
          <w:caps w:val="false"/>
          <w:smallCaps w:val="false"/>
          <w:sz w:val="20"/>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Times;Serif" w:hAnsi="Times New Roman;Times;Serif"/>
          <w:b w:val="false"/>
          <w:i w:val="false"/>
          <w:caps w:val="false"/>
          <w:smallCaps w:val="false"/>
          <w:position w:val="7"/>
          <w:sz w:val="16"/>
          <w:sz w:val="20"/>
        </w:rPr>
        <w:t>20</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r>
        <w:rPr>
          <w:rFonts w:ascii="Times New Roman;Times;Serif" w:hAnsi="Times New Roman;Times;Serif"/>
          <w:b w:val="false"/>
          <w:i w:val="false"/>
          <w:caps w:val="false"/>
          <w:smallCaps w:val="false"/>
          <w:sz w:val="20"/>
          <w:u w:val="single"/>
        </w:rPr>
        <w:t>Board Oversight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Regulated Fund’s directors will oversee the Regulated Fund’s participation in the co-investment program in the exercise of their reasonable business judgment.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60" w:after="60"/>
        <w:ind w:left="0" w:right="0" w:firstLine="49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The Affiliated Entities may adopt shared Co-Investment Policies.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Disposition</w:t>
      </w:r>
      <w:r>
        <w:rPr>
          <w:rFonts w:ascii="Times New Roman;Times;Serif" w:hAnsi="Times New Roman;Times;Serif"/>
          <w:b w:val="false"/>
          <w:i w:val="false"/>
          <w:caps w:val="false"/>
          <w:smallCaps w:val="false"/>
          <w:sz w:val="20"/>
        </w:rPr>
        <w:t>” means the sale, exchange, transfer or other disposition of an interest in a security of an issuer.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Tradable Security</w:t>
      </w:r>
      <w:r>
        <w:rPr>
          <w:rFonts w:ascii="Times New Roman;Times;Serif" w:hAnsi="Times New Roman;Times;Serif"/>
          <w:b w:val="false"/>
          <w:i w:val="false"/>
          <w:caps w:val="false"/>
          <w:smallCaps w:val="false"/>
          <w:sz w:val="20"/>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Recordkeeping</w:t>
      </w:r>
      <w:r>
        <w:rPr>
          <w:rFonts w:ascii="Times New Roman;Times;Serif" w:hAnsi="Times New Roman;Times;Serif"/>
          <w:b w:val="false"/>
          <w:i w:val="false"/>
          <w:caps w:val="false"/>
          <w:smallCaps w:val="false"/>
          <w:sz w:val="20"/>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Times;Serif" w:hAnsi="Times New Roman;Times;Serif"/>
          <w:b w:val="false"/>
          <w:i w:val="false"/>
          <w:caps w:val="false"/>
          <w:smallCaps w:val="false"/>
          <w:position w:val="7"/>
          <w:sz w:val="16"/>
          <w:sz w:val="20"/>
        </w:rPr>
        <w:t>21</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the event that the Commission adopts a rule under the 1940 Act allowing co-investments of the type described in this Application, any relief granted by the Order will expire on the effective date of that rule.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STATEMENT IN SUPPORT OF RELIEF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Benefits to the Regulated Funds and their Shareholders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Shareholder Protections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 PRECEDENTS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has previously issued orders permitting certain investment companies subject to regulation under the 1940 Act and their affiliated persons to be able to participate in Co-Investment Transactions (the “</w:t>
      </w:r>
      <w:r>
        <w:rPr>
          <w:rFonts w:ascii="Times New Roman;Times;Serif" w:hAnsi="Times New Roman;Times;Serif"/>
          <w:b/>
          <w:i/>
          <w:caps w:val="false"/>
          <w:smallCaps w:val="false"/>
          <w:sz w:val="20"/>
        </w:rPr>
        <w:t>Existing Orders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22</w:t>
      </w:r>
      <w:r>
        <w:rPr>
          <w:rFonts w:ascii="Times New Roman;Times;Serif" w:hAnsi="Times New Roman;Times;Serif"/>
          <w:b w:val="false"/>
          <w:i w:val="false"/>
          <w:caps w:val="false"/>
          <w:smallCaps w:val="false"/>
          <w:sz w:val="20"/>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xml:space="preserve">., Polen Credit Opportunities Fund,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812-15457) Release No. IC-35183 (May 2, 2024) (notice), Release No. IC-35206 (May 28, 2024) (Order); Sound Point Meridian Capital, Inc.,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812-15476-01) Release No. IC-35173 (April 19, 2024) (notice), Release No. IC-35192 (May 15, 2024) (order); Brookfield Infrastructure Income Fund Inc.,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812-15415), Release No. IC-35001 (September 20, 2022) (notice), Release No. IC-35032 (October 17, 2023) (order); T. Rowe Price OHA Select Private Credit Fund,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812-15461), Release No. IC-34963 (July 24, 2023) (notice), Release No. IC-34987 (August 21, 2023) (order); KKR Real Estate Select Trust Inc.,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812-15181), Release No. IC-34962 (July 18, 2023) (notice), Release No. IC-34985 (August 15, 2023) (order); MBC Total Private Markets Access Fund,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812-15422), Release No. IC-34953 (June 28, 2023) (notice), Release No. IC-34965 (July 25, 2023) (order); Vista Credit Strategic Lending Corp.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812-15323), Release No. IC-34946 (June 20, 2023) (notice), Release No. IC-34961 (July 18, 2023)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 PROCEDURAL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Communications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all communications concerning this Application, the Notice and the Order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T. Ladd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Stellus Capital Investment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4400 Post Oak Parkway, Suite 2200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TX 77027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 292-5400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rladd@stelluscapital.com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any questions, and a copy of any communications, concerning this Application, the Notice, and the Order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Stephani M. Hildebrandt,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 G. Oberndorf,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Eversheds Sutherland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 Sixth Street, N.W.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383-0100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anneoberndorf@eversheds-sutherland.com</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Authorizations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this Application for the Order sought hereby and the taking of all acts reasonably necessary to obtain the relief requested herein was authorized by the Board of each Existing Regulated Fund pursuant to resolutions duly adopted by the Board. Copies of the resolutions are provided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0-2(c), Applicants hereby state that each Applicant has authorized to cause to be prepared and to execute and file with the Commission this Application and any amendment thereto for an order pursuant to Section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have caused this Application to be duly signed on their behalf on the 14th day of August, 2026.</w:t>
      </w:r>
    </w:p>
    <w:p>
      <w:pPr>
        <w:pStyle w:val="TextBody"/>
        <w:bidi w:val="0"/>
        <w:spacing w:before="0" w:after="0"/>
        <w:ind w:left="0" w:right="0" w:hanging="0"/>
        <w:jc w:val="left"/>
        <w:rPr>
          <w:caps w:val="false"/>
          <w:smallCaps w:val="false"/>
        </w:rPr>
      </w:pPr>
      <w:r>
        <w:rPr>
          <w:caps w:val="false"/>
          <w:smallCaps w:val="false"/>
        </w:rPr>
        <w:t> </w:t>
      </w:r>
    </w:p>
    <w:tbl>
      <w:tblPr>
        <w:tblW w:w="4759" w:type="dxa"/>
        <w:jc w:val="left"/>
        <w:tblInd w:w="0" w:type="dxa"/>
        <w:tblLayout w:type="fixed"/>
        <w:tblCellMar>
          <w:top w:w="0" w:type="dxa"/>
          <w:left w:w="0" w:type="dxa"/>
          <w:bottom w:w="0" w:type="dxa"/>
          <w:right w:w="0" w:type="dxa"/>
        </w:tblCellMar>
      </w:tblPr>
      <w:tblGrid>
        <w:gridCol w:w="75"/>
        <w:gridCol w:w="1046"/>
        <w:gridCol w:w="3638"/>
      </w:tblGrid>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b/>
                <w:sz w:val="20"/>
              </w:rPr>
            </w:pPr>
            <w:r>
              <w:rPr>
                <w:b/>
                <w:sz w:val="20"/>
              </w:rPr>
              <w:t>STELLUS CAPITAL INVESTMENT CORPORATION</w:t>
            </w:r>
          </w:p>
        </w:tc>
      </w:tr>
      <w:tr>
        <w:trPr/>
        <w:tc>
          <w:tcPr>
            <w:tcW w:w="7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36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sz w:val="20"/>
              </w:rPr>
            </w:pPr>
            <w:r>
              <w:rPr>
                <w:sz w:val="20"/>
              </w:rPr>
              <w:t>By:</w:t>
            </w:r>
          </w:p>
        </w:tc>
        <w:tc>
          <w:tcPr>
            <w:tcW w:w="363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sz w:val="20"/>
              </w:rPr>
            </w:pPr>
            <w:r>
              <w:rPr>
                <w:sz w:val="20"/>
              </w:rPr>
              <w:t>Name:</w:t>
            </w:r>
          </w:p>
        </w:tc>
        <w:tc>
          <w:tcPr>
            <w:tcW w:w="3638"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sz w:val="20"/>
              </w:rPr>
            </w:pPr>
            <w:r>
              <w:rPr>
                <w:sz w:val="20"/>
              </w:rPr>
              <w:t>Title:</w:t>
            </w:r>
          </w:p>
        </w:tc>
        <w:tc>
          <w:tcPr>
            <w:tcW w:w="3638"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580" w:type="dxa"/>
        <w:jc w:val="left"/>
        <w:tblInd w:w="0" w:type="dxa"/>
        <w:tblLayout w:type="fixed"/>
        <w:tblCellMar>
          <w:top w:w="0" w:type="dxa"/>
          <w:left w:w="0" w:type="dxa"/>
          <w:bottom w:w="0" w:type="dxa"/>
          <w:right w:w="0" w:type="dxa"/>
        </w:tblCellMar>
      </w:tblPr>
      <w:tblGrid>
        <w:gridCol w:w="75"/>
        <w:gridCol w:w="545"/>
        <w:gridCol w:w="5960"/>
      </w:tblGrid>
      <w:tr>
        <w:trPr/>
        <w:tc>
          <w:tcPr>
            <w:tcW w:w="75" w:type="dxa"/>
            <w:tcBorders/>
            <w:vAlign w:val="center"/>
          </w:tcPr>
          <w:p>
            <w:pPr>
              <w:pStyle w:val="TableContents"/>
              <w:bidi w:val="0"/>
              <w:spacing w:before="0" w:after="283"/>
              <w:jc w:val="left"/>
              <w:rPr/>
            </w:pPr>
            <w:r>
              <w:rPr/>
              <w:t> </w:t>
            </w:r>
          </w:p>
        </w:tc>
        <w:tc>
          <w:tcPr>
            <w:tcW w:w="6505" w:type="dxa"/>
            <w:gridSpan w:val="2"/>
            <w:tcBorders/>
            <w:vAlign w:val="center"/>
          </w:tcPr>
          <w:p>
            <w:pPr>
              <w:pStyle w:val="TableContents"/>
              <w:bidi w:val="0"/>
              <w:spacing w:before="0" w:after="283"/>
              <w:jc w:val="left"/>
              <w:rPr>
                <w:b/>
                <w:sz w:val="20"/>
              </w:rPr>
            </w:pPr>
            <w:r>
              <w:rPr>
                <w:b/>
                <w:sz w:val="20"/>
              </w:rPr>
              <w:t>STELLUS PRIVATE CREDIT BDC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9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96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960" w:type="dxa"/>
            <w:tcBorders/>
            <w:vAlign w:val="center"/>
          </w:tcPr>
          <w:p>
            <w:pPr>
              <w:pStyle w:val="TableContents"/>
              <w:bidi w:val="0"/>
              <w:spacing w:before="0" w:after="283"/>
              <w:jc w:val="left"/>
              <w:rPr/>
            </w:pPr>
            <w:r>
              <w:rPr/>
              <w:t>Chief Financial Officer, Chief Operating Officer and Secretary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5" w:type="dxa"/>
            <w:gridSpan w:val="2"/>
            <w:tcBorders/>
            <w:vAlign w:val="center"/>
          </w:tcPr>
          <w:p>
            <w:pPr>
              <w:pStyle w:val="TableContents"/>
              <w:bidi w:val="0"/>
              <w:spacing w:before="0" w:after="283"/>
              <w:jc w:val="left"/>
              <w:rPr>
                <w:b/>
                <w:sz w:val="20"/>
              </w:rPr>
            </w:pPr>
            <w:r>
              <w:rPr>
                <w:b/>
                <w:sz w:val="20"/>
              </w:rPr>
              <w:t>STELLUS CAPITAL SBIC LP</w:t>
            </w:r>
          </w:p>
        </w:tc>
      </w:tr>
      <w:tr>
        <w:trPr/>
        <w:tc>
          <w:tcPr>
            <w:tcW w:w="75" w:type="dxa"/>
            <w:tcBorders/>
            <w:vAlign w:val="center"/>
          </w:tcPr>
          <w:p>
            <w:pPr>
              <w:pStyle w:val="TableContents"/>
              <w:bidi w:val="0"/>
              <w:spacing w:before="0" w:after="283"/>
              <w:jc w:val="left"/>
              <w:rPr/>
            </w:pPr>
            <w:r>
              <w:rPr/>
              <w:t> </w:t>
            </w:r>
          </w:p>
        </w:tc>
        <w:tc>
          <w:tcPr>
            <w:tcW w:w="65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sz w:val="20"/>
              </w:rPr>
            </w:pPr>
            <w:r>
              <w:rPr>
                <w:sz w:val="20"/>
              </w:rPr>
              <w:t>By: Stellus Capital SBIC GP LLC, its General 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9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96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960"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5" w:type="dxa"/>
            <w:gridSpan w:val="2"/>
            <w:tcBorders/>
            <w:vAlign w:val="center"/>
          </w:tcPr>
          <w:p>
            <w:pPr>
              <w:pStyle w:val="TableContents"/>
              <w:bidi w:val="0"/>
              <w:spacing w:before="0" w:after="283"/>
              <w:jc w:val="left"/>
              <w:rPr>
                <w:b/>
                <w:sz w:val="20"/>
              </w:rPr>
            </w:pPr>
            <w:r>
              <w:rPr>
                <w:b/>
                <w:sz w:val="20"/>
              </w:rPr>
              <w:t>STELLUS CAPITAL SBIC II, LP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sz w:val="20"/>
              </w:rPr>
            </w:pPr>
            <w:r>
              <w:rPr>
                <w:sz w:val="20"/>
              </w:rPr>
              <w:t>By: Stellus Capital SBIC GP LLC, its General 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9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96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960"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5" w:type="dxa"/>
            <w:gridSpan w:val="2"/>
            <w:tcBorders/>
            <w:vAlign w:val="center"/>
          </w:tcPr>
          <w:p>
            <w:pPr>
              <w:pStyle w:val="TableContents"/>
              <w:bidi w:val="0"/>
              <w:spacing w:before="0" w:after="283"/>
              <w:jc w:val="left"/>
              <w:rPr>
                <w:b/>
                <w:sz w:val="20"/>
              </w:rPr>
            </w:pPr>
            <w:r>
              <w:rPr>
                <w:b/>
                <w:sz w:val="20"/>
              </w:rPr>
              <w:t>STELLUS CAPITAL SBIC III, LP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sz w:val="20"/>
              </w:rPr>
            </w:pPr>
            <w:r>
              <w:rPr>
                <w:sz w:val="20"/>
              </w:rPr>
              <w:t>By: Stellus Capital SBIC GP LLC, its General 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9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96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960"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5" w:type="dxa"/>
            <w:gridSpan w:val="2"/>
            <w:tcBorders/>
            <w:vAlign w:val="center"/>
          </w:tcPr>
          <w:p>
            <w:pPr>
              <w:pStyle w:val="TableContents"/>
              <w:bidi w:val="0"/>
              <w:spacing w:before="0" w:after="283"/>
              <w:jc w:val="left"/>
              <w:rPr>
                <w:b/>
                <w:sz w:val="20"/>
              </w:rPr>
            </w:pPr>
            <w:r>
              <w:rPr>
                <w:b/>
                <w:sz w:val="20"/>
              </w:rPr>
              <w:t>SCIC-SKP BLOCKER 1,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9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96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960"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5" w:type="dxa"/>
            <w:gridSpan w:val="2"/>
            <w:tcBorders/>
            <w:vAlign w:val="center"/>
          </w:tcPr>
          <w:p>
            <w:pPr>
              <w:pStyle w:val="TableContents"/>
              <w:bidi w:val="0"/>
              <w:spacing w:before="0" w:after="283"/>
              <w:jc w:val="left"/>
              <w:rPr>
                <w:b/>
                <w:sz w:val="20"/>
              </w:rPr>
            </w:pPr>
            <w:r>
              <w:rPr>
                <w:b/>
                <w:sz w:val="20"/>
              </w:rPr>
              <w:t>SCIC-ERC BLOCKER 1,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9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96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960"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5" w:type="dxa"/>
            <w:gridSpan w:val="2"/>
            <w:tcBorders/>
            <w:vAlign w:val="center"/>
          </w:tcPr>
          <w:p>
            <w:pPr>
              <w:pStyle w:val="TableContents"/>
              <w:bidi w:val="0"/>
              <w:spacing w:before="0" w:after="283"/>
              <w:jc w:val="left"/>
              <w:rPr>
                <w:b/>
                <w:sz w:val="20"/>
              </w:rPr>
            </w:pPr>
            <w:r>
              <w:rPr>
                <w:b/>
                <w:sz w:val="20"/>
              </w:rPr>
              <w:t>SCIC-CONSOLIDATED BLOCKER,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9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96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960"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5" w:type="dxa"/>
            <w:gridSpan w:val="2"/>
            <w:tcBorders/>
            <w:vAlign w:val="center"/>
          </w:tcPr>
          <w:p>
            <w:pPr>
              <w:pStyle w:val="TableContents"/>
              <w:bidi w:val="0"/>
              <w:spacing w:before="0" w:after="283"/>
              <w:jc w:val="left"/>
              <w:rPr>
                <w:b/>
                <w:sz w:val="20"/>
              </w:rPr>
            </w:pPr>
            <w:r>
              <w:rPr>
                <w:b/>
                <w:sz w:val="20"/>
              </w:rPr>
              <w:t>SCIC-CC BLOCKER 1,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9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96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960" w:type="dxa"/>
            <w:tcBorders/>
            <w:vAlign w:val="center"/>
          </w:tcPr>
          <w:p>
            <w:pPr>
              <w:pStyle w:val="TableContents"/>
              <w:bidi w:val="0"/>
              <w:spacing w:before="0" w:after="283"/>
              <w:jc w:val="left"/>
              <w:rPr>
                <w:sz w:val="20"/>
              </w:rPr>
            </w:pPr>
            <w:r>
              <w:rPr>
                <w:sz w:val="20"/>
              </w:rPr>
              <w:t>Authorized Person</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20" w:type="dxa"/>
        <w:jc w:val="left"/>
        <w:tblInd w:w="0" w:type="dxa"/>
        <w:tblLayout w:type="fixed"/>
        <w:tblCellMar>
          <w:top w:w="0" w:type="dxa"/>
          <w:left w:w="0" w:type="dxa"/>
          <w:bottom w:w="0" w:type="dxa"/>
          <w:right w:w="0" w:type="dxa"/>
        </w:tblCellMar>
      </w:tblPr>
      <w:tblGrid>
        <w:gridCol w:w="75"/>
        <w:gridCol w:w="545"/>
        <w:gridCol w:w="5300"/>
      </w:tblGrid>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b/>
                <w:sz w:val="20"/>
              </w:rPr>
            </w:pPr>
            <w:r>
              <w:rPr>
                <w:b/>
                <w:sz w:val="20"/>
              </w:rPr>
              <w:t>SCIC-APE BLOCKER 1,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30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300"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b/>
                <w:sz w:val="20"/>
              </w:rPr>
            </w:pPr>
            <w:r>
              <w:rPr>
                <w:b/>
                <w:sz w:val="20"/>
              </w:rPr>
              <w:t>SCIC-HOLLANDER BLOCKER 1,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30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300"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b/>
                <w:sz w:val="20"/>
              </w:rPr>
            </w:pPr>
            <w:r>
              <w:rPr>
                <w:b/>
                <w:sz w:val="20"/>
              </w:rPr>
              <w:t>SCIC-INVINCIBLE BLOCKER 1,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30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300"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b/>
                <w:sz w:val="20"/>
              </w:rPr>
            </w:pPr>
            <w:r>
              <w:rPr>
                <w:b/>
                <w:sz w:val="20"/>
              </w:rPr>
              <w:t>SCIC-VENBROOK BLOCKER 1,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30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300"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b/>
                <w:sz w:val="20"/>
              </w:rPr>
            </w:pPr>
            <w:r>
              <w:rPr>
                <w:b/>
                <w:sz w:val="20"/>
              </w:rPr>
              <w:t>PBDC CONSOLIDATED BLOCKER,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30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300"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b/>
                <w:sz w:val="20"/>
              </w:rPr>
            </w:pPr>
            <w:r>
              <w:rPr>
                <w:b/>
                <w:sz w:val="20"/>
              </w:rPr>
              <w:t>STELLUS PRIVATE CREDIT BDC SPV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30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300"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b/>
                <w:sz w:val="20"/>
              </w:rPr>
            </w:pPr>
            <w:r>
              <w:rPr>
                <w:b/>
                <w:sz w:val="20"/>
              </w:rPr>
              <w:t>STELLUS CREDIT MASTER FUND I,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sz w:val="20"/>
              </w:rPr>
            </w:pPr>
            <w:r>
              <w:rPr>
                <w:sz w:val="20"/>
              </w:rPr>
              <w:t>By: Stellus Credit Master Fund I GP, LLC, its Managing Member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sz w:val="20"/>
              </w:rPr>
            </w:pPr>
            <w:r>
              <w:rPr>
                <w:sz w:val="20"/>
              </w:rPr>
              <w:t xml:space="preserve">By: Stellus Capital Management, LLC, its Member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30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300" w:type="dxa"/>
            <w:tcBorders/>
            <w:vAlign w:val="center"/>
          </w:tcPr>
          <w:p>
            <w:pPr>
              <w:pStyle w:val="TableContents"/>
              <w:bidi w:val="0"/>
              <w:spacing w:before="0" w:after="283"/>
              <w:jc w:val="left"/>
              <w:rPr>
                <w:sz w:val="20"/>
              </w:rPr>
            </w:pPr>
            <w:r>
              <w:rPr>
                <w:sz w:val="20"/>
              </w:rPr>
              <w:t>Partner</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040" w:type="dxa"/>
        <w:jc w:val="left"/>
        <w:tblInd w:w="0" w:type="dxa"/>
        <w:tblLayout w:type="fixed"/>
        <w:tblCellMar>
          <w:top w:w="0" w:type="dxa"/>
          <w:left w:w="0" w:type="dxa"/>
          <w:bottom w:w="0" w:type="dxa"/>
          <w:right w:w="0" w:type="dxa"/>
        </w:tblCellMar>
      </w:tblPr>
      <w:tblGrid>
        <w:gridCol w:w="75"/>
        <w:gridCol w:w="545"/>
        <w:gridCol w:w="5420"/>
      </w:tblGrid>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b/>
                <w:sz w:val="20"/>
              </w:rPr>
            </w:pPr>
            <w:r>
              <w:rPr>
                <w:b/>
                <w:sz w:val="20"/>
              </w:rPr>
              <w:t>STELLUS CREDIT VCOC FUND I,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sz w:val="20"/>
              </w:rPr>
            </w:pPr>
            <w:r>
              <w:rPr>
                <w:sz w:val="20"/>
              </w:rPr>
              <w:t xml:space="preserve">By: Stellus Capital Management LLC, its Manager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42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420" w:type="dxa"/>
            <w:tcBorders/>
            <w:vAlign w:val="center"/>
          </w:tcPr>
          <w:p>
            <w:pPr>
              <w:pStyle w:val="TableContents"/>
              <w:bidi w:val="0"/>
              <w:spacing w:before="0" w:after="283"/>
              <w:jc w:val="left"/>
              <w:rPr>
                <w:sz w:val="20"/>
              </w:rPr>
            </w:pPr>
            <w:r>
              <w:rPr>
                <w:sz w:val="20"/>
              </w:rPr>
              <w:t>Partner</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b/>
                <w:sz w:val="20"/>
              </w:rPr>
            </w:pPr>
            <w:r>
              <w:rPr>
                <w:b/>
                <w:sz w:val="20"/>
              </w:rPr>
              <w:t>STELLUS CREDIT MASTER FUND II,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sz w:val="20"/>
              </w:rPr>
            </w:pPr>
            <w:r>
              <w:rPr>
                <w:sz w:val="20"/>
              </w:rPr>
              <w:t>By: Stellus Credit Master Fund II GP, LLC, its Managing Member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sz w:val="20"/>
              </w:rPr>
            </w:pPr>
            <w:r>
              <w:rPr>
                <w:sz w:val="20"/>
              </w:rPr>
              <w:t xml:space="preserve">By: Stellus Capital Management LLC, its Member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42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420" w:type="dxa"/>
            <w:tcBorders/>
            <w:vAlign w:val="center"/>
          </w:tcPr>
          <w:p>
            <w:pPr>
              <w:pStyle w:val="TableContents"/>
              <w:bidi w:val="0"/>
              <w:spacing w:before="0" w:after="283"/>
              <w:jc w:val="left"/>
              <w:rPr>
                <w:sz w:val="20"/>
              </w:rPr>
            </w:pPr>
            <w:r>
              <w:rPr>
                <w:sz w:val="20"/>
              </w:rPr>
              <w:t>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b/>
                <w:sz w:val="20"/>
              </w:rPr>
            </w:pPr>
            <w:r>
              <w:rPr>
                <w:b/>
                <w:sz w:val="20"/>
              </w:rPr>
              <w:t>STELLUS CREDIT VCOC FUND II,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sz w:val="20"/>
              </w:rPr>
            </w:pPr>
            <w:r>
              <w:rPr>
                <w:sz w:val="20"/>
              </w:rPr>
              <w:t xml:space="preserve">By: Stellus Capital Management LLC, its Manager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42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420" w:type="dxa"/>
            <w:tcBorders/>
            <w:vAlign w:val="center"/>
          </w:tcPr>
          <w:p>
            <w:pPr>
              <w:pStyle w:val="TableContents"/>
              <w:bidi w:val="0"/>
              <w:spacing w:before="0" w:after="283"/>
              <w:jc w:val="left"/>
              <w:rPr>
                <w:sz w:val="20"/>
              </w:rPr>
            </w:pPr>
            <w:r>
              <w:rPr>
                <w:sz w:val="20"/>
              </w:rPr>
              <w:t>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b/>
                <w:sz w:val="20"/>
              </w:rPr>
            </w:pPr>
            <w:r>
              <w:rPr>
                <w:b/>
                <w:sz w:val="20"/>
              </w:rPr>
              <w:t>STELLUS CREDIT MASTER FUND III,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sz w:val="20"/>
              </w:rPr>
            </w:pPr>
            <w:r>
              <w:rPr>
                <w:sz w:val="20"/>
              </w:rPr>
              <w:t>By: Stellus Credit Master Fund III GP, LLC, its Managing Member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sz w:val="20"/>
              </w:rPr>
            </w:pPr>
            <w:r>
              <w:rPr>
                <w:sz w:val="20"/>
              </w:rPr>
              <w:t xml:space="preserve">By: Stellus Capital Management LLC, its Member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42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420" w:type="dxa"/>
            <w:tcBorders/>
            <w:vAlign w:val="center"/>
          </w:tcPr>
          <w:p>
            <w:pPr>
              <w:pStyle w:val="TableContents"/>
              <w:bidi w:val="0"/>
              <w:spacing w:before="0" w:after="283"/>
              <w:jc w:val="left"/>
              <w:rPr>
                <w:sz w:val="20"/>
              </w:rPr>
            </w:pPr>
            <w:r>
              <w:rPr>
                <w:sz w:val="20"/>
              </w:rPr>
              <w:t>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b/>
                <w:sz w:val="20"/>
              </w:rPr>
            </w:pPr>
            <w:r>
              <w:rPr>
                <w:b/>
                <w:sz w:val="20"/>
              </w:rPr>
              <w:t>STELLUS CREDIT VCOC FUND III,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sz w:val="20"/>
              </w:rPr>
            </w:pPr>
            <w:r>
              <w:rPr>
                <w:sz w:val="20"/>
              </w:rPr>
              <w:t xml:space="preserve">By: Stellus Capital Management LLC, its Manager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42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420" w:type="dxa"/>
            <w:tcBorders/>
            <w:vAlign w:val="center"/>
          </w:tcPr>
          <w:p>
            <w:pPr>
              <w:pStyle w:val="TableContents"/>
              <w:bidi w:val="0"/>
              <w:spacing w:before="0" w:after="283"/>
              <w:jc w:val="left"/>
              <w:rPr>
                <w:sz w:val="20"/>
              </w:rPr>
            </w:pPr>
            <w:r>
              <w:rPr>
                <w:sz w:val="20"/>
              </w:rPr>
              <w:t>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b/>
                <w:sz w:val="20"/>
              </w:rPr>
            </w:pPr>
            <w:r>
              <w:rPr>
                <w:b/>
                <w:sz w:val="20"/>
              </w:rPr>
              <w:t>STELLUS SENIOR SECURED LOAN FUND,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42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420"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b/>
                <w:sz w:val="20"/>
              </w:rPr>
            </w:pPr>
            <w:r>
              <w:rPr>
                <w:b/>
                <w:sz w:val="20"/>
              </w:rPr>
              <w:t>STELLUS CREDIT FUNDS INVESTOR A,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42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420" w:type="dxa"/>
            <w:tcBorders/>
            <w:vAlign w:val="center"/>
          </w:tcPr>
          <w:p>
            <w:pPr>
              <w:pStyle w:val="TableContents"/>
              <w:bidi w:val="0"/>
              <w:spacing w:before="0" w:after="283"/>
              <w:jc w:val="left"/>
              <w:rPr>
                <w:sz w:val="20"/>
              </w:rPr>
            </w:pPr>
            <w:r>
              <w:rPr>
                <w:sz w:val="20"/>
              </w:rPr>
              <w:t>Authorized Person</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055" w:type="dxa"/>
        <w:jc w:val="left"/>
        <w:tblInd w:w="0" w:type="dxa"/>
        <w:tblLayout w:type="fixed"/>
        <w:tblCellMar>
          <w:top w:w="0" w:type="dxa"/>
          <w:left w:w="0" w:type="dxa"/>
          <w:bottom w:w="0" w:type="dxa"/>
          <w:right w:w="0" w:type="dxa"/>
        </w:tblCellMar>
      </w:tblPr>
      <w:tblGrid>
        <w:gridCol w:w="75"/>
        <w:gridCol w:w="545"/>
        <w:gridCol w:w="5435"/>
      </w:tblGrid>
      <w:tr>
        <w:trPr/>
        <w:tc>
          <w:tcPr>
            <w:tcW w:w="7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b/>
                <w:sz w:val="20"/>
              </w:rPr>
            </w:pPr>
            <w:r>
              <w:rPr>
                <w:b/>
                <w:sz w:val="20"/>
              </w:rPr>
              <w:t>STELLUS CREDIT FUNDS INVESTOR B, LP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435"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435"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b/>
                <w:sz w:val="20"/>
              </w:rPr>
            </w:pPr>
            <w:r>
              <w:rPr>
                <w:b/>
                <w:sz w:val="20"/>
              </w:rPr>
              <w:t>STELLUS CREDIT FUNDS INVESTOR C,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435"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435"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b/>
                <w:sz w:val="20"/>
              </w:rPr>
            </w:pPr>
            <w:r>
              <w:rPr>
                <w:b/>
                <w:sz w:val="20"/>
              </w:rPr>
              <w:t>STELLUS CREDIT MASTER FUND IV,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sz w:val="20"/>
              </w:rPr>
            </w:pPr>
            <w:r>
              <w:rPr>
                <w:sz w:val="20"/>
              </w:rPr>
              <w:t>By: Stellus Credit Master Fund IV GP, LLC, its Managing Member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sz w:val="20"/>
              </w:rPr>
            </w:pPr>
            <w:r>
              <w:rPr>
                <w:sz w:val="20"/>
              </w:rPr>
              <w:t xml:space="preserve">By: Stellus Capital Management LLC, its Member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435"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435" w:type="dxa"/>
            <w:tcBorders/>
            <w:vAlign w:val="center"/>
          </w:tcPr>
          <w:p>
            <w:pPr>
              <w:pStyle w:val="TableContents"/>
              <w:bidi w:val="0"/>
              <w:spacing w:before="0" w:after="283"/>
              <w:jc w:val="left"/>
              <w:rPr>
                <w:sz w:val="20"/>
              </w:rPr>
            </w:pPr>
            <w:r>
              <w:rPr>
                <w:sz w:val="20"/>
              </w:rPr>
              <w:t>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b/>
                <w:sz w:val="20"/>
              </w:rPr>
            </w:pPr>
            <w:r>
              <w:rPr>
                <w:b/>
                <w:sz w:val="20"/>
              </w:rPr>
              <w:t>STELLUS CREDIT VCOC FUND IV,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sz w:val="20"/>
              </w:rPr>
            </w:pPr>
            <w:r>
              <w:rPr>
                <w:sz w:val="20"/>
              </w:rPr>
              <w:t xml:space="preserve">By: Stellus Capital Management LLC, its Manager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435"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435" w:type="dxa"/>
            <w:tcBorders/>
            <w:vAlign w:val="center"/>
          </w:tcPr>
          <w:p>
            <w:pPr>
              <w:pStyle w:val="TableContents"/>
              <w:bidi w:val="0"/>
              <w:spacing w:before="0" w:after="283"/>
              <w:jc w:val="left"/>
              <w:rPr>
                <w:sz w:val="20"/>
              </w:rPr>
            </w:pPr>
            <w:r>
              <w:rPr>
                <w:sz w:val="20"/>
              </w:rPr>
              <w:t>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b/>
                <w:sz w:val="20"/>
              </w:rPr>
            </w:pPr>
            <w:r>
              <w:rPr>
                <w:b/>
                <w:sz w:val="20"/>
              </w:rPr>
              <w:t>STELLUS PRIVATE BDC ADVISOR,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435"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435" w:type="dxa"/>
            <w:tcBorders/>
            <w:vAlign w:val="center"/>
          </w:tcPr>
          <w:p>
            <w:pPr>
              <w:pStyle w:val="TableContents"/>
              <w:bidi w:val="0"/>
              <w:spacing w:before="0" w:after="283"/>
              <w:jc w:val="left"/>
              <w:rPr>
                <w:sz w:val="20"/>
              </w:rPr>
            </w:pPr>
            <w:r>
              <w:rPr>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b/>
                <w:sz w:val="20"/>
              </w:rPr>
            </w:pPr>
            <w:r>
              <w:rPr>
                <w:b/>
                <w:sz w:val="20"/>
              </w:rPr>
              <w:t>STELLUS CAPITAL MANAGEMENT,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435"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435" w:type="dxa"/>
            <w:tcBorders/>
            <w:vAlign w:val="center"/>
          </w:tcPr>
          <w:p>
            <w:pPr>
              <w:pStyle w:val="TableContents"/>
              <w:bidi w:val="0"/>
              <w:spacing w:before="0" w:after="283"/>
              <w:jc w:val="left"/>
              <w:rPr>
                <w:sz w:val="20"/>
              </w:rPr>
            </w:pPr>
            <w:r>
              <w:rPr>
                <w:sz w:val="20"/>
              </w:rPr>
              <w:t>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VERIFICATION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states that he has duly executed the attached application, dated August 14, 2026, for and on behalf of </w:t>
      </w:r>
      <w:r>
        <w:rPr>
          <w:rFonts w:ascii="Times New Roman;Times;Serif" w:hAnsi="Times New Roman;Times;Serif"/>
          <w:b w:val="false"/>
          <w:i w:val="false"/>
          <w:caps w:val="false"/>
          <w:smallCaps w:val="false"/>
          <w:sz w:val="20"/>
          <w:shd w:fill="FFFFFF" w:val="clear"/>
        </w:rPr>
        <w:t xml:space="preserve">for and on behalf of </w:t>
      </w:r>
      <w:r>
        <w:rPr>
          <w:rFonts w:ascii="Times New Roman;Times;Serif" w:hAnsi="Times New Roman;Times;Serif"/>
          <w:b w:val="false"/>
          <w:i w:val="false"/>
          <w:caps w:val="false"/>
          <w:smallCaps w:val="false"/>
          <w:sz w:val="20"/>
        </w:rPr>
        <w:t>Stellus Capital Investment Corporation, Stellus Private Credit BDC, Stellus Capital SBIC LP, Stellus Capital SBIC II, LP, Stellus Capital SBIC III, LP, SCIC-SKP Blocker 1, Inc., SCIC-ERC Blocker 1, Inc., SCIC-Consolidated Blocker, Inc., SCIC – CC Blocker 1, Inc., SCIC – APE Blocker 1, Inc., SCIC – Hollander Blocker 1, Inc., SCIC-Invincible Blocker 1, Inc., SCIC-Venbrook Blocker 1, Inc., PBDC Consolidated Blocker, LLC, Stellus Private Credit BDC SPV LLC, Stellus Credit Master Fund I, LLC, Stellus Credit VCOC Fund I, LLC, Stellus Credit Master Fund II, LLC, Stellus Credit VCOC Fund II, LLC, Stellus Credit Master Fund III, LLC, Stellus Credit VCOC Fund III, LLC, Stellus Senior Secured Loan Fund, LLC, Stellus Credit Funds Investor A, LLC, Stellus Credit Funds Investor B, LP, Stellus Credit Master Fund IV, LLC, Stellus Credit VCOC Fund IV, LLC, Stellus Private BDC Advisor, LLC, and Stellus Capital Management, LLC, that he is the Chief Financial Officer of Stellus Capital Investment Corporation and Stellus Private Credit BDC, and the authorized person of Stellus Capital SBIC LP, Stellus Capital SBIC II, LP, Stellus Capital SBIC III, LP, SCIC-SKP Blocker 1, Inc., SCIC-ERC Blocker 1, Inc., SCIC-Consolidated Blocker, Inc., SCIC – CC Blocker 1, Inc., SCIC – APE Blocker 1, Inc., SCIC – Hollander Blocker 1, Inc., SCIC-Invincible Blocker 1, Inc., SCIC-Venbrook Blocker 1, Inc., PBDC Consolidated Blocker, LLC, Stellus Private Credit BDC SPV LLC, Stellus Credit Master Fund I, LLC, Stellus Credit VCOC Fund I, LLC, Stellus Credit Master Fund II, LLC, Stellus Credit VCOC Fund II, LLC, Stellus Credit Master Fund III, LLC, Stellus Credit VCOC Fund III, LLC, Stellus Senior Secured Loan Fund, LLC, Stellus Credit Funds Investor A, LLC, Stellus Credit Funds Investor B, LP, Stellus Credit Funds Investor C, LLC, Stellus Credit Master Fund IV, LLC, Stellus Credit VCOC Fund IV, LLC, Stellus Private BDC Advisor, LLC, PBDC Consolidated Blocker, LLC, and Stellus Capital Management, LLC that he holds the office with each such entity as indicated above, and that all actions by stockholders, directors, members, and other bodies necessary to authorize the undersigned to execute and file such instrument has been taken. The undersigned further states that he is familiar with such instrument, and the contents thereof, and that the facts set forth are true to the best of his knowledge, information and belief.</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545"/>
        <w:gridCol w:w="1655"/>
      </w:tblGrid>
      <w:tr>
        <w:trPr/>
        <w:tc>
          <w:tcPr>
            <w:tcW w:w="75" w:type="dxa"/>
            <w:tcBorders/>
            <w:vAlign w:val="center"/>
          </w:tcPr>
          <w:p>
            <w:pPr>
              <w:pStyle w:val="TableContents"/>
              <w:bidi w:val="0"/>
              <w:spacing w:before="0" w:after="283"/>
              <w:jc w:val="left"/>
              <w:rPr/>
            </w:pPr>
            <w:r>
              <w:rPr/>
              <w:t> </w:t>
            </w:r>
          </w:p>
        </w:tc>
        <w:tc>
          <w:tcPr>
            <w:tcW w:w="220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655"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Date:</w:t>
            </w:r>
          </w:p>
        </w:tc>
        <w:tc>
          <w:tcPr>
            <w:tcW w:w="1655" w:type="dxa"/>
            <w:tcBorders/>
            <w:vAlign w:val="center"/>
          </w:tcPr>
          <w:p>
            <w:pPr>
              <w:pStyle w:val="TableContents"/>
              <w:bidi w:val="0"/>
              <w:spacing w:before="0" w:after="283"/>
              <w:jc w:val="left"/>
              <w:rPr>
                <w:sz w:val="20"/>
                <w:shd w:fill="FFFFFF" w:val="clear"/>
              </w:rPr>
            </w:pPr>
            <w:r>
              <w:rPr>
                <w:sz w:val="20"/>
                <w:shd w:fill="FFFFFF" w:val="clear"/>
              </w:rPr>
              <w:t>August 14,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Resolutions of the Board of Directors (the “Board”) of </w:t>
      </w:r>
      <w:r>
        <w:rPr>
          <w:rFonts w:ascii="Times New Roman;Times;Serif" w:hAnsi="Times New Roman;Times;Serif"/>
          <w:b/>
          <w:i w:val="false"/>
          <w:caps w:val="false"/>
          <w:smallCaps w:val="false"/>
          <w:sz w:val="20"/>
        </w:rPr>
        <w:t xml:space="preserve">Stellus Capital Investment Corporation </w:t>
      </w:r>
      <w:r>
        <w:rPr>
          <w:rFonts w:ascii="Times New Roman;Times;Serif" w:hAnsi="Times New Roman;Times;Serif"/>
          <w:b/>
          <w:i w:val="false"/>
          <w:caps w:val="false"/>
          <w:smallCaps w:val="false"/>
          <w:sz w:val="20"/>
          <w:shd w:fill="FFFFFF" w:val="clear"/>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WHEREAS</w:t>
      </w:r>
      <w:r>
        <w:rPr>
          <w:rFonts w:ascii="Times New Roman;Times;Serif" w:hAnsi="Times New Roman;Times;Serif"/>
          <w:b w:val="false"/>
          <w:i w:val="false"/>
          <w:caps w:val="false"/>
          <w:smallCaps w:val="false"/>
          <w:sz w:val="20"/>
          <w:shd w:fill="FFFFFF" w:val="clear"/>
        </w:rPr>
        <w:t>, the Board has reviewed the Company’s Co-Investment Application (the “</w:t>
      </w:r>
      <w:r>
        <w:rPr>
          <w:rFonts w:ascii="Times New Roman;Times;Serif" w:hAnsi="Times New Roman;Times;Serif"/>
          <w:b/>
          <w:i/>
          <w:caps w:val="false"/>
          <w:smallCaps w:val="false"/>
          <w:sz w:val="20"/>
          <w:shd w:fill="FFFFFF" w:val="clear"/>
        </w:rPr>
        <w:t>Exemptive Application</w:t>
      </w:r>
      <w:r>
        <w:rPr>
          <w:rFonts w:ascii="Times New Roman;Times;Serif" w:hAnsi="Times New Roman;Times;Serif"/>
          <w:b w:val="false"/>
          <w:i w:val="false"/>
          <w:caps w:val="false"/>
          <w:smallCaps w:val="false"/>
          <w:sz w:val="20"/>
          <w:shd w:fill="FFFFFF" w:val="clear"/>
        </w:rPr>
        <w:t>”), a copy of which is attached hereto as Exhibit A, for an order of the Securities and Exchange Commission (the “</w:t>
      </w:r>
      <w:r>
        <w:rPr>
          <w:rFonts w:ascii="Times New Roman;Times;Serif" w:hAnsi="Times New Roman;Times;Serif"/>
          <w:b/>
          <w:i/>
          <w:caps w:val="false"/>
          <w:smallCaps w:val="false"/>
          <w:sz w:val="20"/>
          <w:shd w:fill="FFFFFF" w:val="clear"/>
        </w:rPr>
        <w:t>SEC</w:t>
      </w:r>
      <w:r>
        <w:rPr>
          <w:rFonts w:ascii="Times New Roman;Times;Serif" w:hAnsi="Times New Roman;Times;Serif"/>
          <w:b w:val="false"/>
          <w:i w:val="false"/>
          <w:caps w:val="false"/>
          <w:smallCaps w:val="false"/>
          <w:sz w:val="20"/>
          <w:shd w:fill="FFFFFF" w:val="clear"/>
        </w:rPr>
        <w:t>”) pursuant to Section 17(d) and 57(i) of the 1940 Act, and Rule 17d-1 under the 1940 Act to permit certain joint transactions otherwise prohibited by Sections 17(d) and 57(a)(4) of the 1940 Act and Rule 17d-1 under the 1940 Act;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WHEREAS</w:t>
      </w:r>
      <w:r>
        <w:rPr>
          <w:rFonts w:ascii="Times New Roman;Times;Serif" w:hAnsi="Times New Roman;Times;Serif"/>
          <w:b w:val="false"/>
          <w:i w:val="false"/>
          <w:caps w:val="false"/>
          <w:smallCaps w:val="false"/>
          <w:sz w:val="20"/>
          <w:shd w:fill="FFFFFF" w:val="clear"/>
        </w:rPr>
        <w:t>, the Board deems it advisable and in the best interest of the Company that the Company file the Exemptive Application.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NOW, THEREFORE, BE IT RESOLVED</w:t>
      </w:r>
      <w:r>
        <w:rPr>
          <w:rFonts w:ascii="Times New Roman;Times;Serif" w:hAnsi="Times New Roman;Times;Serif"/>
          <w:b w:val="false"/>
          <w:i w:val="false"/>
          <w:caps w:val="false"/>
          <w:smallCaps w:val="false"/>
          <w:sz w:val="20"/>
          <w:shd w:fill="FFFFFF" w:val="clear"/>
        </w:rPr>
        <w:t>, that the Authorized Officers, shall be, and each of them individually hereby is, authorized, empowered and directed, in the name and on behalf of the Company, to cause to be executed, delivered and filed with the SEC the Exemptive Application, in substantially the form attached hereto;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FURTHER RESOLVED</w:t>
      </w:r>
      <w:r>
        <w:rPr>
          <w:rFonts w:ascii="Times New Roman;Times;Serif" w:hAnsi="Times New Roman;Times;Serif"/>
          <w:b w:val="false"/>
          <w:i w:val="false"/>
          <w:caps w:val="false"/>
          <w:smallCaps w:val="false"/>
          <w:sz w:val="20"/>
          <w:shd w:fill="FFFFFF" w:val="clear"/>
        </w:rPr>
        <w:t>, that the Authorized Officers shall be, and each of them individually hereby is, authorized, empowered and directed, in the name and on behalf of the Company, to cause to be made, executed, delivered and filed with the SEC any amendments to the Exemptive Application and any additional applications for exemptive relief as are determined necessary, advisable or appropriate by any of the Authorized Officers in order to effectuate the foregoing resolutions, such determination to be conclusively evidenced by the taking of any such action;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FURTHER RESOLVED</w:t>
      </w:r>
      <w:r>
        <w:rPr>
          <w:rFonts w:ascii="Times New Roman;Times;Serif" w:hAnsi="Times New Roman;Times;Serif"/>
          <w:b w:val="false"/>
          <w:i w:val="false"/>
          <w:caps w:val="false"/>
          <w:smallCaps w:val="false"/>
          <w:sz w:val="20"/>
          <w:shd w:fill="FFFFFF" w:val="clear"/>
        </w:rPr>
        <w:t>, that all acts and things previously done by any of the Authorized Officers, on or prior to the date hereof, in the name and on behalf of the Company in connection with the foregoing resolutions are in all respects authorized, ratified, approved, confirmed and adopted as the acts and deeds by and on behalf of the Company;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FURTHER RESOLVED</w:t>
      </w:r>
      <w:r>
        <w:rPr>
          <w:rFonts w:ascii="Times New Roman;Times;Serif" w:hAnsi="Times New Roman;Times;Serif"/>
          <w:b w:val="false"/>
          <w:i w:val="false"/>
          <w:caps w:val="false"/>
          <w:smallCaps w:val="false"/>
          <w:sz w:val="20"/>
          <w:shd w:fill="FFFFFF" w:val="clear"/>
        </w:rPr>
        <w:t>, that the Authorized Officers be, and each of them hereby is, authorized, empowered and directed to certify and deliver copies of these resolutions to such governmental bodies, agencies, persons, firms or corporations as the Authorized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FURTHER RESOLVED</w:t>
      </w:r>
      <w:r>
        <w:rPr>
          <w:rFonts w:ascii="Times New Roman;Times;Serif" w:hAnsi="Times New Roman;Times;Serif"/>
          <w:b w:val="false"/>
          <w:i w:val="false"/>
          <w:caps w:val="false"/>
          <w:smallCaps w:val="false"/>
          <w:sz w:val="20"/>
          <w:shd w:fill="FFFFFF" w:val="clear"/>
        </w:rPr>
        <w:t>, that for purposes of the foregoing resolutions, the Officers of the Company shall be the President and Chief Executive Officer and Chief Financial Officer of the Company (collectively, the “</w:t>
      </w:r>
      <w:r>
        <w:rPr>
          <w:rFonts w:ascii="Times New Roman;Times;Serif" w:hAnsi="Times New Roman;Times;Serif"/>
          <w:b/>
          <w:i/>
          <w:caps w:val="false"/>
          <w:smallCaps w:val="false"/>
          <w:sz w:val="20"/>
          <w:shd w:fill="FFFFFF" w:val="clear"/>
        </w:rPr>
        <w:t>Authorized Officers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(Adopted by the Board of Directors on April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APPENDIX C</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Resolutions of the Board of Trustees (the “Board”) of </w:t>
      </w:r>
      <w:r>
        <w:rPr>
          <w:rFonts w:ascii="Times New Roman;Times;Serif" w:hAnsi="Times New Roman;Times;Serif"/>
          <w:b/>
          <w:i w:val="false"/>
          <w:caps w:val="false"/>
          <w:smallCaps w:val="false"/>
          <w:sz w:val="20"/>
        </w:rPr>
        <w:t xml:space="preserve">Stellus Private Credit BDC </w:t>
      </w:r>
      <w:r>
        <w:rPr>
          <w:rFonts w:ascii="Times New Roman;Times;Serif" w:hAnsi="Times New Roman;Times;Serif"/>
          <w:b/>
          <w:i w:val="false"/>
          <w:caps w:val="false"/>
          <w:smallCaps w:val="false"/>
          <w:sz w:val="20"/>
          <w:shd w:fill="FFFFFF" w:val="clear"/>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has reviewed the Company’s Co-Investment Application (the “</w:t>
      </w:r>
      <w:r>
        <w:rPr>
          <w:rFonts w:ascii="Times New Roman;Times;Serif" w:hAnsi="Times New Roman;Times;Serif"/>
          <w:b/>
          <w:i/>
          <w:caps w:val="false"/>
          <w:smallCaps w:val="false"/>
          <w:sz w:val="20"/>
        </w:rPr>
        <w:t>Exemptive Application</w:t>
      </w:r>
      <w:r>
        <w:rPr>
          <w:rFonts w:ascii="Times New Roman;Times;Serif" w:hAnsi="Times New Roman;Times;Serif"/>
          <w:b w:val="false"/>
          <w:i w:val="false"/>
          <w:caps w:val="false"/>
          <w:smallCaps w:val="false"/>
          <w:sz w:val="20"/>
        </w:rPr>
        <w:t>”), a copy of which is attached hereto as Exhibit A, for an order of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pursuant to Section 17(d) and 57(i) of the 1940 Act, and Rule 17d-1 under the 1940 Act to permit certain joint transactions otherwise prohibited by Sections 17(d) and 57(a)(4) of the 1940 Act and Rule 17d-1 under the 1940 Act;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deems it advisable and in the best interest of the Company that the Company file the Exemptive Application.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BE IT RESOLVED</w:t>
      </w:r>
      <w:r>
        <w:rPr>
          <w:rFonts w:ascii="Times New Roman;Times;Serif" w:hAnsi="Times New Roman;Times;Serif"/>
          <w:b w:val="false"/>
          <w:i w:val="false"/>
          <w:caps w:val="false"/>
          <w:smallCaps w:val="false"/>
          <w:sz w:val="20"/>
        </w:rPr>
        <w:t>, that the Authorized Officers, shall be, and each of them individually hereby is, authorized, empowered and directed, in the name and on behalf of the Company, to cause to be executed, delivered and filed with the SEC the Exemptive Application, in substantially the form attached hereto;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the Authorized Officers shall be, and each of them individually hereby is, authorized, empowered and directed, in the name and on behalf of the Company, to cause to be made, executed, delivered and filed with the SEC any amendments to the Exemptive Application and any additional applications for exemptive relief as are determined necessary, advisable or appropriate by any of the Authorized Officers in order to effectuate the foregoing resolutions, such determination to be conclusively evidenced by the taking of any such action;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all acts and things previously done by any of the Authorized Officers, on or prior to the date hereof, in the name and on behalf of the Company in connection with the foregoing resolutions are in all respects authorized, ratified, approved, confirmed and adopted as the acts and deeds by and on behalf of the Company;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the Authorized Officers be, and each of them hereby is, authorized, empowered and directed to certify and deliver copies of these resolutions to such governmental bodies, agencies, persons, firms or corporations as the Authorized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for purposes of the foregoing resolutions, the Officers of the Company shall be the President and Chief Executive Officer and Chief Financial Officer of the Company (collectively, the “</w:t>
      </w:r>
      <w:r>
        <w:rPr>
          <w:rFonts w:ascii="Times New Roman;Times;Serif" w:hAnsi="Times New Roman;Times;Serif"/>
          <w:b/>
          <w:i/>
          <w:caps w:val="false"/>
          <w:smallCaps w:val="false"/>
          <w:sz w:val="20"/>
        </w:rPr>
        <w:t>Authorized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the Board of Trustees on April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Wholly-Owned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Wholly-Owned Subsidiaries of SCIC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Capital SBIC LP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Capital SBIC II, LP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Capital SBIC III, LP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SCIC-SKP Blocker 1,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SCIC-ERC Blocker 1,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SCIC-Consolidated Blocker,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SCIC-CC Blocker 1,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SCIC-APE Blocker 1,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SCIC-Hollander Blocker 1,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SCIC-Invincible Blocker 1,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SCIC-Venbrook Blocker 1,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Wholly-Owned Subsidiaries of SPBDC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PBDC Consolidated Blocker,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Private Credit BDC SPV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8512</Words>
  <Characters>45544</Characters>
  <CharactersWithSpaces>54146</CharactersWithSpaces>
  <Paragraphs>1002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