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tm2627033d1_40appa.htm"/>
      <w:bookmarkStart w:id="1" w:name="kstm2627033d1_40appa"/>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812-15763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Stellus Capital Investment Corporation, Stellus Private Credit BDC, Stellus Capital SBIC LP, Stellus Capital SBIC II, LP, Stellus Capital SBIC III, LP, SCIC-SKP Blocker 1, Inc., SCIC-ERC Blocker 1, Inc., SCIC-Consolidated Blocker, Inc., SCIC – CC Blocker 1, Inc., SCIC – APE Blocker 1, Inc., SCIC – Hollander Blocker 1, Inc., SCIC-Invincible Blocker 1, Inc., SCIC-Venbrook Blocker, Inc., PBDC Consolidated Blocker, LLC, Stellus Private Credit BDC SPV LLC, Stellus Credit Master Fund I, LLC, Stellus Credit VCOC Fund I, LLC, Stellus Credit Master Fund II, LLC, Stellus Credit VCOC Fund II, LLC, Stellus Credit Master Fund III, LLC, Stellus Credit VCOC Fund III, LLC, Stellus Senior Secured Loan Fund, LLC, Stellus Credit Funds Investor A, LLC, Stellus Credit Funds Investor B, LP, Stellus Credit Master Fund IV, LLC, Stellus Credit VCOC Fund IV, LLC, Stellus Credit Funds Investor C, LLC, Stellus Private BDC Advisor, LLC, and Stellus Capital Management,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 Post Oak Parkway, Suite 2200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77027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292-5400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AMENDED AND RESTATED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T. Ladd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Stellus Capital Investment Corporation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Chief Executive Officer and President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4400 Post Oak Parkway, Suite 2200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TX 77027</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292-5400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rladd@stelluscapital.com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Stephani M. Hildebrandt,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 G. Oberndorf,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Eversheds Sutherland (US) LLP</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700 Sixth Street, N.W.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20001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383-0100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anneoberndorf@eversheds-sutherland.com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SUMMARY OF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 The Order would supersede the exemptive order issued by the Commission on November 13, 2024 (the “</w:t>
      </w:r>
      <w:r>
        <w:rPr>
          <w:rFonts w:ascii="Times New Roman;Times;Serif" w:hAnsi="Times New Roman;Times;Serif"/>
          <w:b/>
          <w:i/>
          <w:caps w:val="false"/>
          <w:smallCaps w:val="false"/>
          <w:sz w:val="20"/>
        </w:rPr>
        <w:t>Prior Order</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that was granted pursuant to Sections 57(a)(4), 57(i) and Rule 17d-1, with the result that no person will continue to rely on the Prior Order if the Order is granted.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Capital Investment Corporation (“</w:t>
            </w:r>
            <w:r>
              <w:rPr>
                <w:rFonts w:ascii="Times New Roman;Times;Serif" w:hAnsi="Times New Roman;Times;Serif"/>
                <w:b/>
                <w:i/>
              </w:rPr>
              <w:t>SCIC</w:t>
            </w:r>
            <w:r>
              <w:rPr>
                <w:rFonts w:ascii="Times New Roman;Times;Serif" w:hAnsi="Times New Roman;Times;Serif"/>
              </w:rPr>
              <w:t>”), a corporation formed under the General Corporate Laws of the State of Maryland for the purpose of operating as an externally managed, non-diversified, closed-end management investment company that has elected to be regulated as a business development company under the 1940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Private Credit BDC (“</w:t>
            </w:r>
            <w:r>
              <w:rPr>
                <w:rFonts w:ascii="Times New Roman;Times;Serif" w:hAnsi="Times New Roman;Times;Serif"/>
                <w:b/>
                <w:i/>
              </w:rPr>
              <w:t>SPBDC</w:t>
            </w:r>
            <w:r>
              <w:rPr>
                <w:rFonts w:ascii="Times New Roman;Times;Serif" w:hAnsi="Times New Roman;Times;Serif"/>
              </w:rPr>
              <w:t>” and together with SCIC, the “</w:t>
            </w:r>
            <w:r>
              <w:rPr>
                <w:rFonts w:ascii="Times New Roman;Times;Serif" w:hAnsi="Times New Roman;Times;Serif"/>
                <w:b/>
                <w:i/>
              </w:rPr>
              <w:t>Existing Regulated Funds</w:t>
            </w:r>
            <w:r>
              <w:rPr>
                <w:rFonts w:ascii="Times New Roman;Times;Serif" w:hAnsi="Times New Roman;Times;Serif"/>
              </w:rPr>
              <w:t>”), a Delaware statutory trust formed for the purpose of operating as an externally managed, non-diversified, closed-end management investment company that has elected to be regulated as a business development company under the 1940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following investment vehicles, each of which is a separate and distinct legal entity and each of which would be an investment company but for Sections 3(c)(1) or 3(c)(7) of the 1940 Act (the “</w:t>
            </w:r>
            <w:r>
              <w:rPr>
                <w:rFonts w:ascii="Times New Roman;Times;Serif" w:hAnsi="Times New Roman;Times;Serif"/>
                <w:b/>
                <w:i/>
              </w:rPr>
              <w:t>Existing Affiliated Funds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4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350" w:type="dxa"/>
            <w:tcBorders/>
            <w:vAlign w:val="center"/>
          </w:tcPr>
          <w:p>
            <w:pPr>
              <w:pStyle w:val="TableContents"/>
              <w:bidi w:val="0"/>
              <w:spacing w:before="0" w:after="283"/>
              <w:jc w:val="left"/>
              <w:rPr/>
            </w:pPr>
            <w:r>
              <w:rPr/>
              <w:t>Stellus Credit Master Fund I, LLC;</w:t>
            </w:r>
          </w:p>
        </w:tc>
      </w:tr>
    </w:tbl>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4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395" w:type="dxa"/>
            <w:tcBorders/>
            <w:vAlign w:val="center"/>
          </w:tcPr>
          <w:p>
            <w:pPr>
              <w:pStyle w:val="TableContents"/>
              <w:bidi w:val="0"/>
              <w:spacing w:before="0" w:after="283"/>
              <w:jc w:val="left"/>
              <w:rPr/>
            </w:pPr>
            <w:r>
              <w:rPr/>
              <w:t>Stellus Credit VCOC Fund I, LLC;</w:t>
            </w:r>
          </w:p>
        </w:tc>
      </w:tr>
    </w:tbl>
    <w:p>
      <w:pPr>
        <w:pStyle w:val="TextBody"/>
        <w:bidi w:val="0"/>
        <w:spacing w:before="0" w:after="0"/>
        <w:ind w:left="0" w:right="0" w:hanging="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4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425" w:type="dxa"/>
            <w:tcBorders/>
            <w:vAlign w:val="center"/>
          </w:tcPr>
          <w:p>
            <w:pPr>
              <w:pStyle w:val="TableContents"/>
              <w:bidi w:val="0"/>
              <w:spacing w:before="0" w:after="283"/>
              <w:jc w:val="left"/>
              <w:rPr/>
            </w:pPr>
            <w:r>
              <w:rPr/>
              <w:t>Stellus Credit Master Fund II, LLC;</w:t>
            </w:r>
          </w:p>
        </w:tc>
      </w:tr>
    </w:tbl>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4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470" w:type="dxa"/>
            <w:tcBorders/>
            <w:vAlign w:val="center"/>
          </w:tcPr>
          <w:p>
            <w:pPr>
              <w:pStyle w:val="TableContents"/>
              <w:bidi w:val="0"/>
              <w:spacing w:before="0" w:after="283"/>
              <w:jc w:val="left"/>
              <w:rPr/>
            </w:pPr>
            <w:r>
              <w:rPr/>
              <w:t>Stellus Credit VCOC Fund II, LLC;</w:t>
            </w:r>
          </w:p>
        </w:tc>
      </w:tr>
    </w:tbl>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4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500" w:type="dxa"/>
            <w:tcBorders/>
            <w:vAlign w:val="center"/>
          </w:tcPr>
          <w:p>
            <w:pPr>
              <w:pStyle w:val="TableContents"/>
              <w:bidi w:val="0"/>
              <w:spacing w:before="0" w:after="283"/>
              <w:jc w:val="left"/>
              <w:rPr/>
            </w:pPr>
            <w:r>
              <w:rPr/>
              <w:t>Stellus Credit Master Fund III, LLC;</w:t>
            </w:r>
          </w:p>
        </w:tc>
      </w:tr>
    </w:tbl>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4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545" w:type="dxa"/>
            <w:tcBorders/>
            <w:vAlign w:val="center"/>
          </w:tcPr>
          <w:p>
            <w:pPr>
              <w:pStyle w:val="TableContents"/>
              <w:bidi w:val="0"/>
              <w:spacing w:before="0" w:after="283"/>
              <w:jc w:val="left"/>
              <w:rPr/>
            </w:pPr>
            <w:r>
              <w:rPr/>
              <w:t>Stellus Credit VCOC Fund III, LLC;</w:t>
            </w:r>
          </w:p>
        </w:tc>
      </w:tr>
    </w:tbl>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4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530" w:type="dxa"/>
            <w:tcBorders/>
            <w:vAlign w:val="center"/>
          </w:tcPr>
          <w:p>
            <w:pPr>
              <w:pStyle w:val="TableContents"/>
              <w:bidi w:val="0"/>
              <w:spacing w:before="0" w:after="283"/>
              <w:jc w:val="left"/>
              <w:rPr/>
            </w:pPr>
            <w:r>
              <w:rPr/>
              <w:t>Stellus Credit Master Fund IV, LLC;</w:t>
            </w:r>
          </w:p>
        </w:tc>
      </w:tr>
    </w:tbl>
    <w:p>
      <w:pPr>
        <w:pStyle w:val="TextBody"/>
        <w:bidi w:val="0"/>
        <w:spacing w:before="0" w:after="0"/>
        <w:ind w:left="0" w:right="0" w:hanging="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4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575" w:type="dxa"/>
            <w:tcBorders/>
            <w:vAlign w:val="center"/>
          </w:tcPr>
          <w:p>
            <w:pPr>
              <w:pStyle w:val="TableContents"/>
              <w:bidi w:val="0"/>
              <w:spacing w:before="0" w:after="283"/>
              <w:jc w:val="left"/>
              <w:rPr/>
            </w:pPr>
            <w:r>
              <w:rPr/>
              <w:t>Stellus Credit VCOC Fund IV, LLC;</w:t>
            </w:r>
          </w:p>
        </w:tc>
      </w:tr>
    </w:tbl>
    <w:p>
      <w:pPr>
        <w:pStyle w:val="TextBody"/>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4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920" w:type="dxa"/>
            <w:tcBorders/>
            <w:vAlign w:val="center"/>
          </w:tcPr>
          <w:p>
            <w:pPr>
              <w:pStyle w:val="TableContents"/>
              <w:bidi w:val="0"/>
              <w:spacing w:before="0" w:after="283"/>
              <w:jc w:val="left"/>
              <w:rPr/>
            </w:pPr>
            <w:r>
              <w:rPr/>
              <w:t>Stellus Senior Secured Loan Fund, LLC;</w:t>
            </w:r>
          </w:p>
        </w:tc>
      </w:tr>
    </w:tbl>
    <w:p>
      <w:pPr>
        <w:pStyle w:val="TextBody"/>
        <w:bidi w:val="0"/>
        <w:spacing w:before="0" w:after="0"/>
        <w:ind w:left="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4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665" w:type="dxa"/>
            <w:tcBorders/>
            <w:vAlign w:val="center"/>
          </w:tcPr>
          <w:p>
            <w:pPr>
              <w:pStyle w:val="TableContents"/>
              <w:bidi w:val="0"/>
              <w:spacing w:before="0" w:after="283"/>
              <w:jc w:val="left"/>
              <w:rPr/>
            </w:pPr>
            <w:r>
              <w:rPr/>
              <w:t>Stellus Credit Funds Investor A, LLC;</w:t>
            </w:r>
          </w:p>
        </w:tc>
      </w:tr>
    </w:tbl>
    <w:p>
      <w:pPr>
        <w:pStyle w:val="TextBody"/>
        <w:bidi w:val="0"/>
        <w:spacing w:before="0" w:after="0"/>
        <w:ind w:left="0" w:right="0" w:hanging="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4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875" w:type="dxa"/>
            <w:tcBorders/>
            <w:vAlign w:val="center"/>
          </w:tcPr>
          <w:p>
            <w:pPr>
              <w:pStyle w:val="TableContents"/>
              <w:bidi w:val="0"/>
              <w:spacing w:before="0" w:after="283"/>
              <w:jc w:val="left"/>
              <w:rPr/>
            </w:pPr>
            <w:r>
              <w:rPr/>
              <w:t>Stellus Credit Funds Investor B, LP; and</w:t>
            </w:r>
          </w:p>
        </w:tc>
      </w:tr>
    </w:tbl>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4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3650" w:type="dxa"/>
            <w:tcBorders/>
            <w:vAlign w:val="center"/>
          </w:tcPr>
          <w:p>
            <w:pPr>
              <w:pStyle w:val="TableContents"/>
              <w:bidi w:val="0"/>
              <w:spacing w:before="0" w:after="283"/>
              <w:jc w:val="left"/>
              <w:rPr/>
            </w:pPr>
            <w:r>
              <w:rPr/>
              <w:t>Stellus Credit Funds Investor C,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Certain vehicles (as identified on </w:t>
            </w:r>
            <w:r>
              <w:rPr>
                <w:rFonts w:ascii="Times New Roman;Times;Serif" w:hAnsi="Times New Roman;Times;Serif"/>
                <w:u w:val="single"/>
              </w:rPr>
              <w:t>Schedule A</w:t>
            </w:r>
            <w:r>
              <w:rPr>
                <w:rFonts w:ascii="Times New Roman;Times;Serif" w:hAnsi="Times New Roman;Times;Serif"/>
              </w:rPr>
              <w:t xml:space="preserve"> hereto) (the “</w:t>
            </w:r>
            <w:r>
              <w:rPr>
                <w:rFonts w:ascii="Times New Roman;Times;Serif" w:hAnsi="Times New Roman;Times;Serif"/>
                <w:b/>
                <w:i/>
              </w:rPr>
              <w:t>Existing Wholly-Owned Subsidiaries</w:t>
            </w:r>
            <w:r>
              <w:rPr>
                <w:rFonts w:ascii="Times New Roman;Times;Serif" w:hAnsi="Times New Roman;Times;Serif"/>
              </w:rPr>
              <w:t>”), each of which is a separate and distinct legal entity and each of which is a Wholly-Owned Investment Sub (as defined below) of an Existing Regulated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Private BDC Advisor, LLC, SPBDC’s investment adviser (“</w:t>
            </w:r>
            <w:r>
              <w:rPr>
                <w:rFonts w:ascii="Times New Roman;Times;Serif" w:hAnsi="Times New Roman;Times;Serif"/>
                <w:b/>
                <w:i/>
              </w:rPr>
              <w:t>SPBDC Advisor</w:t>
            </w:r>
            <w:r>
              <w:rPr>
                <w:rFonts w:ascii="Times New Roman;Times;Serif" w:hAnsi="Times New Roman;Times;Serif"/>
              </w:rPr>
              <w:t>”), on behalf of itself and its successors;</w:t>
            </w:r>
            <w:r>
              <w:rPr>
                <w:rFonts w:ascii="Times New Roman;Times;Serif" w:hAnsi="Times New Roman;Times;Serif"/>
                <w:position w:val="8"/>
                <w:sz w:val="19"/>
              </w:rPr>
              <w:t>3</w:t>
            </w:r>
            <w:r>
              <w:rPr>
                <w:rFonts w:ascii="Times New Roman;Times;Serif" w:hAnsi="Times New Roman;Times;Serif"/>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Capital Management, LLC (“</w:t>
            </w:r>
            <w:r>
              <w:rPr>
                <w:rFonts w:ascii="Times New Roman;Times;Serif" w:hAnsi="Times New Roman;Times;Serif"/>
                <w:b/>
                <w:i/>
              </w:rPr>
              <w:t>SCM</w:t>
            </w:r>
            <w:r>
              <w:rPr>
                <w:rFonts w:ascii="Times New Roman;Times;Serif" w:hAnsi="Times New Roman;Times;Serif"/>
              </w:rPr>
              <w:t>” and together with SPBDC Advisor, the “</w:t>
            </w:r>
            <w:r>
              <w:rPr>
                <w:rFonts w:ascii="Times New Roman;Times;Serif" w:hAnsi="Times New Roman;Times;Serif"/>
                <w:b/>
                <w:i/>
              </w:rPr>
              <w:t>Existing Advisers</w:t>
            </w:r>
            <w:r>
              <w:rPr>
                <w:rFonts w:ascii="Times New Roman;Times;Serif" w:hAnsi="Times New Roman;Times;Serif"/>
              </w:rPr>
              <w:t>”), the investment adviser to SCIC and each of the Existing Affiliated Funds, on behalf of itself and its successors (the Existing Advisers together with SCIC, SPBDC, the Existing Affiliated Funds and the Existing Wholly-Owned Subsidiaries, the “</w:t>
            </w:r>
            <w:r>
              <w:rPr>
                <w:rFonts w:ascii="Times New Roman;Times;Serif" w:hAnsi="Times New Roman;Times;Serif"/>
                <w:b/>
                <w:i/>
              </w:rPr>
              <w:t>Applicants</w:t>
            </w:r>
            <w:r>
              <w:rPr>
                <w:rFonts w:ascii="Times New Roman;Times;Serif" w:hAnsi="Times New Roman;Times;Serif"/>
              </w:rPr>
              <w:t>”);</w:t>
            </w:r>
            <w:r>
              <w:rPr>
                <w:rFonts w:ascii="Times New Roman;Times;Serif" w:hAnsi="Times New Roman;Times;Serif"/>
                <w:position w:val="8"/>
                <w:sz w:val="19"/>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Unless otherwise indicated, all section and rule references herein are to the 1940 Act and rules promulgated thereunder.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Stellus Capital Investment Corporation, et al.</w:t>
      </w:r>
      <w:r>
        <w:rPr>
          <w:rFonts w:ascii="Times New Roman;Times;Serif" w:hAnsi="Times New Roman;Times;Serif"/>
          <w:b w:val="false"/>
          <w:i w:val="false"/>
          <w:caps w:val="false"/>
          <w:smallCaps w:val="false"/>
          <w:sz w:val="20"/>
        </w:rPr>
        <w:t xml:space="preserve"> (File No. 812-15255), Release No. IC-34556 (April 11, 2022) (notice) and Release No. IC-34579 (May 9, 2022) (order).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term “</w:t>
      </w:r>
      <w:r>
        <w:rPr>
          <w:rFonts w:ascii="Times New Roman;Times;Serif" w:hAnsi="Times New Roman;Times;Serif"/>
          <w:b/>
          <w:i/>
          <w:caps w:val="false"/>
          <w:smallCaps w:val="false"/>
          <w:sz w:val="20"/>
        </w:rPr>
        <w:t>successor</w:t>
      </w:r>
      <w:r>
        <w:rPr>
          <w:rFonts w:ascii="Times New Roman;Times;Serif" w:hAnsi="Times New Roman;Times;Serif"/>
          <w:b w:val="false"/>
          <w:i w:val="false"/>
          <w:caps w:val="false"/>
          <w:smallCaps w:val="false"/>
          <w:sz w:val="20"/>
        </w:rPr>
        <w:t>” means an entity that results from a reorganization into another jurisdiction or change in the type of business organization.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All existing entities that currently intend to rely upon the requested Order have been named as Applicants. Any other existing or future entity that subsequently relies on the Order will comply with the terms and conditions of the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and one or more Affiliated Entities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Regulated Fund</w:t>
      </w:r>
      <w:r>
        <w:rPr>
          <w:rFonts w:ascii="Times New Roman;Times;Serif" w:hAnsi="Times New Roman;Times;Serif"/>
          <w:b w:val="false"/>
          <w:i w:val="false"/>
          <w:caps w:val="false"/>
          <w:smallCaps w:val="false"/>
          <w:sz w:val="20"/>
        </w:rPr>
        <w:t>” means the Existing Regulated Funds and any Future Regulated Funds. “</w:t>
      </w:r>
      <w:r>
        <w:rPr>
          <w:rFonts w:ascii="Times New Roman;Times;Serif" w:hAnsi="Times New Roman;Times;Serif"/>
          <w:b/>
          <w:i/>
          <w:caps w:val="false"/>
          <w:smallCaps w:val="false"/>
          <w:sz w:val="20"/>
        </w:rPr>
        <w:t>Future Regulated Fund</w:t>
      </w:r>
      <w:r>
        <w:rPr>
          <w:rFonts w:ascii="Times New Roman;Times;Serif" w:hAnsi="Times New Roman;Times;Serif"/>
          <w:b w:val="false"/>
          <w:i w:val="false"/>
          <w:caps w:val="false"/>
          <w:smallCaps w:val="false"/>
          <w:sz w:val="20"/>
        </w:rPr>
        <w:t>” means an entity (or series thereof, as applicable) (a) that is an open-end or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Affiliated Entity</w:t>
      </w:r>
      <w:r>
        <w:rPr>
          <w:rFonts w:ascii="Times New Roman;Times;Serif" w:hAnsi="Times New Roman;Times;Serif"/>
          <w:b w:val="false"/>
          <w:i w:val="false"/>
          <w:caps w:val="false"/>
          <w:smallCaps w:val="false"/>
          <w:sz w:val="20"/>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Co-Investment Transaction</w:t>
      </w:r>
      <w:r>
        <w:rPr>
          <w:rFonts w:ascii="Times New Roman;Times;Serif" w:hAnsi="Times New Roman;Times;Serif"/>
          <w:b w:val="false"/>
          <w:i w:val="false"/>
          <w:caps w:val="false"/>
          <w:smallCaps w:val="false"/>
          <w:sz w:val="20"/>
        </w:rPr>
        <w:t>” means the acquisition or Disposition of securities of an issuer in a transaction effected in reliance on the Order or previously granted relief.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means SPBDC Advisor, SCM, and any other investment adviser controlling, controlled by, or under common control with SPBDC Advisor and/or SCM. The term “Adviser” also includes any internally-managed Regulated Fund.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Massachusetts Mutual Life Insurance Co. (pub. avail. June 7, 2000), Massachusetts Mutual Life Insurance Co. (pub. avail. July 28, 2000) and SMC Capital, Inc. (pub. avail. Sept. 5,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GENERAL DESCRIPTION OF THE APPLICANTS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 was organized as a corporation under the General Corporate Laws of the State of Maryland on May 18, 2012 for the purpose of operating as an externally managed, non-diversified, closed-end management investment company that has elected to be regulated as a business development company under the 1940 Act. In connection with its initial public offering of common stock (the “</w:t>
      </w:r>
      <w:r>
        <w:rPr>
          <w:rFonts w:ascii="Times New Roman;Times;Serif" w:hAnsi="Times New Roman;Times;Serif"/>
          <w:b/>
          <w:i/>
          <w:caps w:val="false"/>
          <w:smallCaps w:val="false"/>
          <w:sz w:val="20"/>
        </w:rPr>
        <w:t>IPO</w:t>
      </w:r>
      <w:r>
        <w:rPr>
          <w:rFonts w:ascii="Times New Roman;Times;Serif" w:hAnsi="Times New Roman;Times;Serif"/>
          <w:b w:val="false"/>
          <w:i w:val="false"/>
          <w:caps w:val="false"/>
          <w:smallCaps w:val="false"/>
          <w:sz w:val="20"/>
        </w:rPr>
        <w:t>”), on September 28, 2012, SCIC filed a registration statement on Form N-2, as subsequently amended and supplemented. On November 7, 2012, SCIC filed a notice under Form N-54A to be subject to Sections 55 through 65 of the 1940 Act and filed a registration statement on Form 8-A to register its common stock under Section 12 of the Securities Exchange Act of 1934, as amended (the “</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Accordingly, SCIC is subject to the periodic reporting requirements under Section 13(a) of the 1934 Act. SCIC’s common stock is listed on the New York Stock Exchange under the symbol “SCM”. SCIC’s principal place of business is 4400 Post Oak Parkway, Suite 2200, Houston, TX 77027. SCIC has elected to be treated for U.S. Federal tax purposes as a regulated investment company (“</w:t>
      </w:r>
      <w:r>
        <w:rPr>
          <w:rFonts w:ascii="Times New Roman;Times;Serif" w:hAnsi="Times New Roman;Times;Serif"/>
          <w:b/>
          <w:i/>
          <w:caps w:val="false"/>
          <w:smallCaps w:val="false"/>
          <w:sz w:val="20"/>
        </w:rPr>
        <w:t>RIC</w:t>
      </w:r>
      <w:r>
        <w:rPr>
          <w:rFonts w:ascii="Times New Roman;Times;Serif" w:hAnsi="Times New Roman;Times;Serif"/>
          <w:b w:val="false"/>
          <w:i w:val="false"/>
          <w:caps w:val="false"/>
          <w:smallCaps w:val="false"/>
          <w:sz w:val="20"/>
        </w:rPr>
        <w:t>”) under Subchapter M of the Code, and intends to continue to maintain its qualification as a RIC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objective of SCIC is to maximize the total return to its stockholders in the form of current income and capital appreciation through debt and related equity investments in middle-market companies. SCIC seeks to achieve its investment objective by originating and investing primarily in private U.S. middle-market companies (typically those with $5.0 million to $50.0 million of EBITDA (earnings before interest, taxes, depreciation and amortization)), with a focus on investing through first lien (including unitranche) loans, often with a corresponding equity investment. SCIC’s business and affairs are managed under the direction of its board of directors (the “</w:t>
      </w:r>
      <w:r>
        <w:rPr>
          <w:rFonts w:ascii="Times New Roman;Times;Serif" w:hAnsi="Times New Roman;Times;Serif"/>
          <w:b/>
          <w:i/>
          <w:caps w:val="false"/>
          <w:smallCaps w:val="false"/>
          <w:sz w:val="20"/>
        </w:rPr>
        <w:t>SCIC Board</w:t>
      </w:r>
      <w:r>
        <w:rPr>
          <w:rFonts w:ascii="Times New Roman;Times;Serif" w:hAnsi="Times New Roman;Times;Serif"/>
          <w:b w:val="false"/>
          <w:i w:val="false"/>
          <w:caps w:val="false"/>
          <w:smallCaps w:val="false"/>
          <w:sz w:val="20"/>
        </w:rPr>
        <w:t>”). The SCIC Board consists of five members, of which three members are not “interested persons” of SCIC within the meaning of Section 2(a)(19) of the 1940 Act (the “</w:t>
      </w:r>
      <w:r>
        <w:rPr>
          <w:rFonts w:ascii="Times New Roman;Times;Serif" w:hAnsi="Times New Roman;Times;Serif"/>
          <w:b/>
          <w:i/>
          <w:caps w:val="false"/>
          <w:smallCaps w:val="false"/>
          <w:sz w:val="20"/>
        </w:rPr>
        <w:t>Independent Directors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SPBDC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 was organized as a Delaware statutory trust formed for the purpose of operating as an externally managed, non-diversified, closed-end management investment company that has elected to be regulated as a business development company under the 1940 Act. On December 22, 2021, SPBDC filed a registration statement on Form 10 to register the shares of its common stock pursuant to Section 12(g) of the 1934 Act. SPBDC is offering on a continuous basis an unlimited number of its common shares of beneficial interest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in connection with which it intends to enter into subscription agreements to issue and sell shares of its Common Shares under the exemption provided by Section 4(a)(2)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only to investors that are “accredited investors” in accordance with Rule 506(b) of Regulation D promulgated under the Securities Act, and other exemptions of similar import in the laws of the states and jurisdictions where the offering will be made. SPBDC’s principal place of business is 4400 Post Oak Parkway, Suite 2200, Houston, TX 77027. SPBDC has elected to be treated for U.S. federal income tax purposes as a RIC under Subchapter M of the Code, and intends to continue to maintain its qualification as a RIC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SPBDC’s investment objective is to maximize the total return to its stockholders in the form of current income and capital appreciation. SPBDC will aim to achieve its investment objectives by providing loans to lower middle market companies in the U.S. SPBDC’s business and affairs are managed under the direction of its board of trustees (the “</w:t>
      </w:r>
      <w:r>
        <w:rPr>
          <w:rFonts w:ascii="Times New Roman;Times;Serif" w:hAnsi="Times New Roman;Times;Serif"/>
          <w:b/>
          <w:i/>
          <w:caps w:val="false"/>
          <w:smallCaps w:val="false"/>
          <w:sz w:val="20"/>
        </w:rPr>
        <w:t>SPBDC Board</w:t>
      </w:r>
      <w:r>
        <w:rPr>
          <w:rFonts w:ascii="Times New Roman;Times;Serif" w:hAnsi="Times New Roman;Times;Serif"/>
          <w:b w:val="false"/>
          <w:i w:val="false"/>
          <w:caps w:val="false"/>
          <w:smallCaps w:val="false"/>
          <w:sz w:val="20"/>
        </w:rPr>
        <w:t>” and together with the SCIC Board and any Future Regulated Fund’s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The SPBDC Board consists of five members, of which three members are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The Board of each Future Regulated Fund will consist of a majority of members who are not “interested persons” of such Future Regulated Fund within the meaning of Section 2(a)(19)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Existing Affiliated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Affiliated Funds were each formed as follows:</w:t>
      </w:r>
    </w:p>
    <w:p>
      <w:pPr>
        <w:pStyle w:val="TextBody"/>
        <w:bidi w:val="0"/>
        <w:spacing w:before="0" w:after="0"/>
        <w:ind w:left="0" w:right="0" w:hanging="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25"/>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Master Fund I, LLC, a Delaware limited liability company formed on October 1, 2013;</w:t>
            </w:r>
          </w:p>
        </w:tc>
      </w:tr>
    </w:tbl>
    <w:p>
      <w:pPr>
        <w:pStyle w:val="TextBody"/>
        <w:bidi w:val="0"/>
        <w:spacing w:before="0" w:after="0"/>
        <w:ind w:left="0" w:right="0" w:hanging="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25"/>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VCOC Fund I, LLC, a Delaware limited liability company formed on October 1, 2013;</w:t>
            </w:r>
          </w:p>
        </w:tc>
      </w:tr>
    </w:tbl>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2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Master Fund II, LLC, a Delaware limited liability company formed on October 7, 2015;</w:t>
            </w:r>
          </w:p>
        </w:tc>
      </w:tr>
    </w:tbl>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2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VCOC Fund II, LLC, a Delaware limited liability company formed on October 7, 2015;</w:t>
            </w:r>
          </w:p>
        </w:tc>
      </w:tr>
    </w:tbl>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2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4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Master Fund III, LLC, a Delaware limited liability company formed on July 21, 2020;</w:t>
            </w:r>
          </w:p>
        </w:tc>
      </w:tr>
    </w:tbl>
    <w:p>
      <w:pPr>
        <w:pStyle w:val="TextBody"/>
        <w:bidi w:val="0"/>
        <w:spacing w:before="0" w:after="0"/>
        <w:ind w:left="0" w:right="0" w:hanging="0"/>
        <w:jc w:val="left"/>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2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VCOC Fund III, LLC, a Delaware limited liability company formed on July 21, 2020;</w:t>
            </w:r>
          </w:p>
        </w:tc>
      </w:tr>
    </w:tbl>
    <w:p>
      <w:pPr>
        <w:pStyle w:val="TextBody"/>
        <w:bidi w:val="0"/>
        <w:spacing w:before="0" w:after="0"/>
        <w:ind w:left="0" w:right="0" w:hanging="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25"/>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Master Fund IV, LLC, a Delaware limited liability company formed on August 25, 2023;</w:t>
            </w:r>
          </w:p>
        </w:tc>
      </w:tr>
    </w:tbl>
    <w:p>
      <w:pPr>
        <w:pStyle w:val="TextBody"/>
        <w:bidi w:val="0"/>
        <w:spacing w:before="0" w:after="0"/>
        <w:ind w:left="0" w:right="0" w:hanging="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2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VCOC Fund IV, LLC, a Delaware limited liability company formed on August 25,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Senior Secured Loan Fund, LLC, a Delaware limited liability company formed on January 18, 2019;</w:t>
            </w:r>
          </w:p>
        </w:tc>
      </w:tr>
    </w:tbl>
    <w:p>
      <w:pPr>
        <w:pStyle w:val="TextBody"/>
        <w:bidi w:val="0"/>
        <w:spacing w:before="0" w:after="0"/>
        <w:ind w:left="0" w:right="0" w:hanging="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2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5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Funds Investor A, LLC, a Delaware limited liability company formed on June 2, 2021;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Funds Investor B, LP, a Cayman Islands exempted limited partnership formed on December 8, 2021; and</w:t>
            </w:r>
          </w:p>
        </w:tc>
      </w:tr>
    </w:tbl>
    <w:p>
      <w:pPr>
        <w:pStyle w:val="TextBody"/>
        <w:bidi w:val="0"/>
        <w:spacing w:before="0" w:after="0"/>
        <w:ind w:left="0" w:right="0" w:hanging="0"/>
        <w:jc w:val="left"/>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25"/>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Stellus Credit Funds Investor C, LLC, a Delaware limited liability company formed on August 29,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objective of each Existing Affiliated Fund is to maximize total return to its investors in the form of current income and capital appreciation by primarily investing in private middle-market companies (typically with $5 million to $50 million of EBITDA) through first lien, second lien, unitranche and mezzanine debt financings, often with corresponding equity investments. Each Existing Affiliated Fund is a separate and distinct legal entity and each relies on the exclusion from the status as an investment company under the 1940 Act provided by Sections 3(c)(1) or 3(c)(7).</w:t>
      </w: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Each Existing Affiliated Fund is advised by SCM.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Existing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Existing Wholly-Owned Subsidiaries is a direct or indirect wholly-owned subsidiary of an Existing Regulated Fund whose sole business purpose is to hold one or more investments on behalf of such Existing Regulated Fund. Each of the Existing Wholly-Owned Subsidiaries is a separate and distinct legal entity. The Existing Wholly-Owned Subsidiaries have investment objectives and strategies that are substantially the same as, or a subset of, those of the applicable Existing Regulated Fund. The Existing Wholly-Owned Subsidiaries are not registered under the 1940 Act because each of the Existing Wholly-Owned Subsidiaries relies on the exclusion from the definition of “investment company” contained in Section 3(c)(7)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SPBDC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 Advisor, a majority-owned subsidiary of SCM, was organized as a limited liability company under the laws of the state of Delaware and is privately held. SPBDC Advisor is registered with the Commission pursuant to Section 203 of the Investment Advisers Act of 1940, as amended (the “</w:t>
      </w:r>
      <w:r>
        <w:rPr>
          <w:rFonts w:ascii="Times New Roman;Times;Serif" w:hAnsi="Times New Roman;Times;Serif"/>
          <w:b/>
          <w:i/>
          <w:caps w:val="false"/>
          <w:smallCaps w:val="false"/>
          <w:sz w:val="20"/>
        </w:rPr>
        <w:t>Advisers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SPBDC Advisor serves as investment adviser to SPBDC pursuant to an investment advisory agreement. SPBDC Advisor reviews investments with respect to SPBDC and determines if SPBDC should invest in a new portfolio company and, if so, to what extent.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SCM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SCM was organized as a limited liability company under the laws of the state of Delaware and is privately held. SCM is registered with the Commission pursuant to Section 203 of the Advisers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SCM serves as investment adviser to SCIC pursuant to an investment advisory agreement and also serves as investment adviser to each Existing Affiliated Fund. SCM reviews investments with respect to SCIC and the Existing Affiliated Funds and determines whether or not each entity should invest in a new portfolio company and, if so, to what extent.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 the future, each Existing Affiliated Fund may register as an investment company under the 1940 Act and, if so registered, will be considered a Regulated Fund for purposes of this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ORDER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Need for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closed-end fund, or a business development company, respectively, including a sub-adviser. Thus, an Adviser and any Affiliated Entities that it advises could be deemed to be persons related to Regulated Funds in a manner described by Sections 17(d) and 57(b). SPBDC Advisor is majority-owned by SCM and SCM therefore controls SPBDC Advisor, and thus the two entities are affiliated persons of each other. Accordingly, with respect to SCM, SPBDC Advisor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SCM, SPBDC Advisor,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Such a Board can also, consistent with applicable fund documents, facilitate this opportunity by delegating the authority to veto the selection of such person to a committee of the Board.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 scheduled meeting.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Expenses of an individual Participant that are incurred solely by the Participant due to its unique circumstances (such as legal and compliance expenses) will be borne by such Participant.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Applicants are not requesting and the Commission is not providing any relief for transaction fees received in connection with any Co-Investment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any Disposition</w:t>
      </w: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b w:val="false"/>
          <w:i w:val="false"/>
          <w:caps w:val="false"/>
          <w:smallCaps w:val="false"/>
          <w:position w:val="7"/>
          <w:sz w:val="16"/>
          <w:sz w:val="2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z w:val="20"/>
          <w:u w:val="single"/>
        </w:rPr>
        <w:t>Board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Regulated Fund’s directors will oversee the Regulated Fund’s participation in the co-investment program in the exercise of their reasonable business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The Affiliated Entities may adopt shared Co-Investment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the sale, exchange, transfer or other disposition of an interest in a security of an issuer.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Tradable Security</w:t>
      </w:r>
      <w:r>
        <w:rPr>
          <w:rFonts w:ascii="Times New Roman;Times;Serif" w:hAnsi="Times New Roman;Times;Serif"/>
          <w:b w:val="false"/>
          <w:i w:val="false"/>
          <w:caps w:val="false"/>
          <w:smallCaps w:val="false"/>
          <w:sz w:val="20"/>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STATEMENT IN SUPPORT OF RELIEF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Benefits to the Regulated Funds and their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Shareholder Protections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PRECEDENTS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e.g</w:t>
      </w:r>
      <w:r>
        <w:rPr>
          <w:rFonts w:ascii="Times New Roman;Times;Serif" w:hAnsi="Times New Roman;Times;Serif"/>
          <w:b w:val="false"/>
          <w:i w:val="false"/>
          <w:caps w:val="false"/>
          <w:smallCaps w:val="false"/>
          <w:sz w:val="20"/>
        </w:rPr>
        <w:t xml:space="preserve">., FS Credit Opportunities Corp.,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812-15706), Release No. IC-35520 (April 3, 2025) (notice), Release No. IC-35561 (April 29, 2025) (order);  Apogem Capital LLC,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812-15885), Release No. IC-36259 (July 21, 2026) (notice), Release No. IC-36303 (August 18, 2026) (order); Macquarie Infrastructure Income Opportunities Fund,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812-15989), Release No. IC-36278 (July 31, 2026) (notice), Release No. IC-36312 (August 26, 2026) (order); Regan Capital Alternative Income Fund, </w:t>
      </w:r>
      <w:r>
        <w:rPr>
          <w:rFonts w:ascii="Times New Roman;Times;Serif" w:hAnsi="Times New Roman;Times;Serif"/>
          <w:b w:val="false"/>
          <w:i/>
          <w:caps w:val="false"/>
          <w:smallCaps w:val="false"/>
          <w:sz w:val="20"/>
        </w:rPr>
        <w:t>et al.</w:t>
      </w:r>
      <w:r>
        <w:rPr>
          <w:rFonts w:ascii="Times New Roman;Times;Serif" w:hAnsi="Times New Roman;Times;Serif"/>
          <w:b w:val="false"/>
          <w:i w:val="false"/>
          <w:caps w:val="false"/>
          <w:smallCaps w:val="false"/>
          <w:sz w:val="20"/>
        </w:rPr>
        <w:t xml:space="preserve"> (File No. 812-16006), Release No. IC-36287 (August 7, 2026) (notice), Release No. IC-36318 (September 2, 2026) (order); AMG BBH Asset-Backed Credit Fund, LLC, e</w:t>
      </w:r>
      <w:r>
        <w:rPr>
          <w:rFonts w:ascii="Times New Roman;Times;Serif" w:hAnsi="Times New Roman;Times;Serif"/>
          <w:b w:val="false"/>
          <w:i/>
          <w:caps w:val="false"/>
          <w:smallCaps w:val="false"/>
          <w:sz w:val="20"/>
        </w:rPr>
        <w:t>t al.</w:t>
      </w:r>
      <w:r>
        <w:rPr>
          <w:rFonts w:ascii="Times New Roman;Times;Serif" w:hAnsi="Times New Roman;Times;Serif"/>
          <w:b w:val="false"/>
          <w:i w:val="false"/>
          <w:caps w:val="false"/>
          <w:smallCaps w:val="false"/>
          <w:sz w:val="20"/>
        </w:rPr>
        <w:t xml:space="preserve"> (File No. 812-16017), Release No. IC-36290A (September 3, 2026) (notice), Release No. IC-36349 (September 29, 2026)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PROCEDURAL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T. Ladd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Stellus Capital Investment Corporation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Chief Executive Officer and President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4400 Post Oak Parkway, Suite 2200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TX 77027</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292-5400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rladd@stelluscapital.com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Stephani M. Hildebrandt,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 G. Oberndorf, Esq.</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Eversheds Sutherland (US) LLP</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700 Sixth Street, N.W.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20001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383-0100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anneoberndorf@eversheds-sutherland.com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Authorizations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have caused this Application to be duly signed on their behalf on the 6th day of October, 2026.</w:t>
      </w:r>
    </w:p>
    <w:p>
      <w:pPr>
        <w:pStyle w:val="TextBody"/>
        <w:bidi w:val="0"/>
        <w:spacing w:before="0" w:after="0"/>
        <w:ind w:left="0" w:right="0" w:hanging="0"/>
        <w:jc w:val="left"/>
        <w:rPr>
          <w:caps w:val="false"/>
          <w:smallCaps w:val="false"/>
        </w:rPr>
      </w:pPr>
      <w:r>
        <w:rPr>
          <w:caps w:val="false"/>
          <w:smallCaps w:val="false"/>
        </w:rPr>
        <w:t> </w:t>
      </w:r>
    </w:p>
    <w:tbl>
      <w:tblPr>
        <w:tblW w:w="4759" w:type="dxa"/>
        <w:jc w:val="left"/>
        <w:tblInd w:w="0" w:type="dxa"/>
        <w:tblLayout w:type="fixed"/>
        <w:tblCellMar>
          <w:top w:w="0" w:type="dxa"/>
          <w:left w:w="0" w:type="dxa"/>
          <w:bottom w:w="0" w:type="dxa"/>
          <w:right w:w="0" w:type="dxa"/>
        </w:tblCellMar>
      </w:tblPr>
      <w:tblGrid>
        <w:gridCol w:w="75"/>
        <w:gridCol w:w="1046"/>
        <w:gridCol w:w="3638"/>
      </w:tblGrid>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CAPITAL INVESTMENT CORPORATION</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36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650" w:type="dxa"/>
        <w:jc w:val="left"/>
        <w:tblInd w:w="0" w:type="dxa"/>
        <w:tblLayout w:type="fixed"/>
        <w:tblCellMar>
          <w:top w:w="0" w:type="dxa"/>
          <w:left w:w="0" w:type="dxa"/>
          <w:bottom w:w="0" w:type="dxa"/>
          <w:right w:w="0" w:type="dxa"/>
        </w:tblCellMar>
      </w:tblPr>
      <w:tblGrid>
        <w:gridCol w:w="75"/>
        <w:gridCol w:w="545"/>
        <w:gridCol w:w="5030"/>
      </w:tblGrid>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PRIVATE CREDIT BDC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Operating Officer and Secretary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CAPITAL SBIC LP</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Capital SBIC GP LLC, its 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CAPITAL SBIC II,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Capital SBIC GP LLC, its 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CAPITAL SBIC III,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Capital SBIC GP LLC, its General 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SCIC-SKP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SCIC-ERC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SCIC-CONSOLIDATED BLOCKER,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SCIC-CC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20" w:type="dxa"/>
        <w:jc w:val="left"/>
        <w:tblInd w:w="0" w:type="dxa"/>
        <w:tblLayout w:type="fixed"/>
        <w:tblCellMar>
          <w:top w:w="0" w:type="dxa"/>
          <w:left w:w="0" w:type="dxa"/>
          <w:bottom w:w="0" w:type="dxa"/>
          <w:right w:w="0" w:type="dxa"/>
        </w:tblCellMar>
      </w:tblPr>
      <w:tblGrid>
        <w:gridCol w:w="75"/>
        <w:gridCol w:w="545"/>
        <w:gridCol w:w="5300"/>
      </w:tblGrid>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SCIC-APE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SCIC-HOLLANDER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SCIC-INVINCIBLE BLOCKER 1,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SCIC-VENBROOK BLOCKER,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PBDC CONSOLIDATED BLOCKER,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PRIVATE CREDIT BDC SPV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MASTER FUND 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Credit Master Fund I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VCOC FUND 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40" w:type="dxa"/>
        <w:jc w:val="left"/>
        <w:tblInd w:w="0" w:type="dxa"/>
        <w:tblLayout w:type="fixed"/>
        <w:tblCellMar>
          <w:top w:w="0" w:type="dxa"/>
          <w:left w:w="0" w:type="dxa"/>
          <w:bottom w:w="0" w:type="dxa"/>
          <w:right w:w="0" w:type="dxa"/>
        </w:tblCellMar>
      </w:tblPr>
      <w:tblGrid>
        <w:gridCol w:w="75"/>
        <w:gridCol w:w="545"/>
        <w:gridCol w:w="5420"/>
      </w:tblGrid>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MASTER FUND 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Credit Master Fund II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VCOC FUND 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MASTER FUND III,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Credit Master Fund III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VCOC FUND III,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SENIOR SECURED LOAN FUND,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FUNDS INVESTOR A,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55" w:type="dxa"/>
        <w:jc w:val="left"/>
        <w:tblInd w:w="0" w:type="dxa"/>
        <w:tblLayout w:type="fixed"/>
        <w:tblCellMar>
          <w:top w:w="0" w:type="dxa"/>
          <w:left w:w="0" w:type="dxa"/>
          <w:bottom w:w="0" w:type="dxa"/>
          <w:right w:w="0" w:type="dxa"/>
        </w:tblCellMar>
      </w:tblPr>
      <w:tblGrid>
        <w:gridCol w:w="75"/>
        <w:gridCol w:w="545"/>
        <w:gridCol w:w="5435"/>
      </w:tblGrid>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FUNDS INVESTOR B,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FUNDS INVESTOR C,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MASTER FUND IV,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Stellus Credit Master Fund IV GP, LLC, its Managing Member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Member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CREDIT VCOC FUND IV,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Stellus Capital Management LLC, its Manager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PRIVATE BDC ADVISOR,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Compliance Officer and Chief Financial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STELLUS CAPITAL MANAGEMENT, LLC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VERIFICATION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states that he has duly executed the attached application, dated October 6, 2026, for and on behalf of </w:t>
      </w:r>
      <w:r>
        <w:rPr>
          <w:rFonts w:ascii="Times New Roman;Times;Serif" w:hAnsi="Times New Roman;Times;Serif"/>
          <w:b w:val="false"/>
          <w:i w:val="false"/>
          <w:caps w:val="false"/>
          <w:smallCaps w:val="false"/>
          <w:sz w:val="20"/>
          <w:shd w:fill="FFFFFF" w:val="clear"/>
        </w:rPr>
        <w:t xml:space="preserve">for and on behalf of </w:t>
      </w:r>
      <w:r>
        <w:rPr>
          <w:rFonts w:ascii="Times New Roman;Times;Serif" w:hAnsi="Times New Roman;Times;Serif"/>
          <w:b w:val="false"/>
          <w:i w:val="false"/>
          <w:caps w:val="false"/>
          <w:smallCaps w:val="false"/>
          <w:sz w:val="20"/>
        </w:rPr>
        <w:t>Stellus Capital Investment Corporation, Stellus Private Credit BDC, Stellus Capital SBIC LP, Stellus Capital SBIC II, LP, Stellus Capital SBIC III, LP, SCIC-SKP Blocker 1, Inc., SCIC-ERC Blocker 1, Inc., SCIC-Consolidated Blocker, Inc., SCIC – CC Blocker 1, Inc., SCIC – APE Blocker 1, Inc., SCIC – Hollander Blocker 1, Inc., SCIC-Invincible Blocker 1, Inc., SCIC-Venbrook Blocker, Inc., PBDC Consolidated Blocker, LLC, Stellus Private Credit BDC SPV LLC, Stellus Credit Master Fund I, LLC, Stellus Credit VCOC Fund I, LLC, Stellus Credit Master Fund II, LLC, Stellus Credit VCOC Fund II, LLC, Stellus Credit Master Fund III, LLC, Stellus Credit VCOC Fund III, LLC, Stellus Senior Secured Loan Fund, LLC, Stellus Credit Funds Investor A, LLC, Stellus Credit Funds Investor B, LP, Stellus Credit Master Fund IV, LLC, Stellus Credit VCOC Fund IV, LLC, Stellus Private BDC Advisor, LLC, and Stellus Capital Management, LLC, that he is the Chief Financial Officer of Stellus Capital Investment Corporation and Stellus Private Credit BDC, and the authorized person of Stellus Capital SBIC LP, Stellus Capital SBIC II, LP, Stellus Capital SBIC III, LP, SCIC-SKP Blocker 1, Inc., SCIC-ERC Blocker 1, Inc., SCIC-Consolidated Blocker, Inc., SCIC – CC Blocker 1, Inc., SCIC – APE Blocker 1, Inc., SCIC – Hollander Blocker 1, Inc., SCIC-Invincible Blocker 1, Inc., SCIC-Venbrook Blocker, Inc., PBDC Consolidated Blocker, LLC, Stellus Private Credit BDC SPV LLC, Stellus Credit Master Fund I, LLC, Stellus Credit VCOC Fund I, LLC, Stellus Credit Master Fund II, LLC, Stellus Credit VCOC Fund II, LLC, Stellus Credit Master Fund III, LLC, Stellus Credit VCOC Fund III, LLC, Stellus Senior Secured Loan Fund, LLC, Stellus Credit Funds Investor A, LLC, Stellus Credit Funds Investor B, LP, Stellus Credit Funds Investor C, LLC, Stellus Credit Master Fund IV, LLC, Stellus Credit VCOC Fund IV, LLC, Stellus Private BDC Advisor, LLC, PBDC Consolidated Blocker, LLC, and Stellus Capital Management, LLC that he holds the office with each such entity as indicated above, and that all actions by stockholders, directors, members, and other bodies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545"/>
        <w:gridCol w:w="1655"/>
      </w:tblGrid>
      <w:tr>
        <w:trPr/>
        <w:tc>
          <w:tcPr>
            <w:tcW w:w="75" w:type="dxa"/>
            <w:tcBorders/>
            <w:vAlign w:val="center"/>
          </w:tcPr>
          <w:p>
            <w:pPr>
              <w:pStyle w:val="TableContents"/>
              <w:bidi w:val="0"/>
              <w:spacing w:before="0" w:after="283"/>
              <w:jc w:val="left"/>
              <w:rPr/>
            </w:pPr>
            <w:r>
              <w:rPr/>
              <w:t> </w:t>
            </w:r>
          </w:p>
        </w:tc>
        <w:tc>
          <w:tcPr>
            <w:tcW w:w="22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5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October 6,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Resolutions of the Board of Directors (the “Board”) of </w:t>
      </w:r>
      <w:r>
        <w:rPr>
          <w:rFonts w:ascii="Times New Roman;Times;Serif" w:hAnsi="Times New Roman;Times;Serif"/>
          <w:b/>
          <w:i w:val="false"/>
          <w:caps w:val="false"/>
          <w:smallCaps w:val="false"/>
          <w:sz w:val="20"/>
        </w:rPr>
        <w:t xml:space="preserve">Stellus Capital Investment Corporation </w:t>
      </w:r>
      <w:r>
        <w:rPr>
          <w:rFonts w:ascii="Times New Roman;Times;Serif" w:hAnsi="Times New Roman;Times;Serif"/>
          <w:b/>
          <w:i w:val="false"/>
          <w:caps w:val="false"/>
          <w:smallCaps w:val="false"/>
          <w:sz w:val="20"/>
          <w:shd w:fill="FFFFFF" w:val="clear"/>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the Board has reviewed the Company’s Co-Investment Application (the “</w:t>
      </w:r>
      <w:r>
        <w:rPr>
          <w:rFonts w:ascii="Times New Roman;Times;Serif" w:hAnsi="Times New Roman;Times;Serif"/>
          <w:b/>
          <w:i/>
          <w:caps w:val="false"/>
          <w:smallCaps w:val="false"/>
          <w:sz w:val="20"/>
          <w:shd w:fill="FFFFFF" w:val="clear"/>
        </w:rPr>
        <w:t>Exemptive Application</w:t>
      </w:r>
      <w:r>
        <w:rPr>
          <w:rFonts w:ascii="Times New Roman;Times;Serif" w:hAnsi="Times New Roman;Times;Serif"/>
          <w:b w:val="false"/>
          <w:i w:val="false"/>
          <w:caps w:val="false"/>
          <w:smallCaps w:val="false"/>
          <w:sz w:val="20"/>
          <w:shd w:fill="FFFFFF" w:val="clear"/>
        </w:rPr>
        <w:t>”), a copy of which is attached hereto as Exhibit A, for an order of the Securities and Exchange Commission (the “</w:t>
      </w:r>
      <w:r>
        <w:rPr>
          <w:rFonts w:ascii="Times New Roman;Times;Serif" w:hAnsi="Times New Roman;Times;Serif"/>
          <w:b/>
          <w:i/>
          <w:caps w:val="false"/>
          <w:smallCaps w:val="false"/>
          <w:sz w:val="20"/>
          <w:shd w:fill="FFFFFF" w:val="clear"/>
        </w:rPr>
        <w:t>SEC</w:t>
      </w:r>
      <w:r>
        <w:rPr>
          <w:rFonts w:ascii="Times New Roman;Times;Serif" w:hAnsi="Times New Roman;Times;Serif"/>
          <w:b w:val="false"/>
          <w:i w:val="false"/>
          <w:caps w:val="false"/>
          <w:smallCaps w:val="false"/>
          <w:sz w:val="20"/>
          <w:shd w:fill="FFFFFF" w:val="clear"/>
        </w:rPr>
        <w:t>”) pursuant to Section 17(d) and 57(i) of the 1940 Act, and Rule 17d-1 under the 1940 Act to permit certain joint transactions otherwise prohibited by Sections 17(d) and 57(a)(4) of the 1940 Act and Rule 17d-1 under the 1940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the Board deems it advisable and in the best interest of the Company that the Company file the Exemptive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NOW, THEREFORE, BE IT RESOLVED</w:t>
      </w:r>
      <w:r>
        <w:rPr>
          <w:rFonts w:ascii="Times New Roman;Times;Serif" w:hAnsi="Times New Roman;Times;Serif"/>
          <w:b w:val="false"/>
          <w:i w:val="false"/>
          <w:caps w:val="false"/>
          <w:smallCaps w:val="false"/>
          <w:sz w:val="20"/>
          <w:shd w:fill="FFFFFF" w:val="clear"/>
        </w:rPr>
        <w:t>, that the Authorized Officers, shall be, and each of them individually hereby is, authorized, empowered and directed, in the name and on behalf of the Company, to cause to be executed, delivered and filed with the SEC the Exemptive Application, in substantially the form attached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the Authorized Officers shall be, and each of them individually hereby is, authorized, empowered and directed, in 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all acts and things previously done by any of the Authorized Officers, on or prior to the date hereof, in the name and on behalf of the Company in connection with the foregoing resolutions are in all respects authorized, ratified, approved, confirmed and adopted as the acts and deeds by and on behalf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the Authorized Officers be, and each of them hereby is, authorized, empowered and directed to certify and deliver 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FURTHER RESOLVED</w:t>
      </w:r>
      <w:r>
        <w:rPr>
          <w:rFonts w:ascii="Times New Roman;Times;Serif" w:hAnsi="Times New Roman;Times;Serif"/>
          <w:b w:val="false"/>
          <w:i w:val="false"/>
          <w:caps w:val="false"/>
          <w:smallCaps w:val="false"/>
          <w:sz w:val="20"/>
          <w:shd w:fill="FFFFFF" w:val="clear"/>
        </w:rPr>
        <w:t>, that for purposes of the foregoing resolutions, the Officers of the Company shall be the President and Chief Executive Officer and Chief Financial Officer of the Company (collectively, the “</w:t>
      </w:r>
      <w:r>
        <w:rPr>
          <w:rFonts w:ascii="Times New Roman;Times;Serif" w:hAnsi="Times New Roman;Times;Serif"/>
          <w:b/>
          <w:i/>
          <w:caps w:val="false"/>
          <w:smallCaps w:val="false"/>
          <w:sz w:val="20"/>
          <w:shd w:fill="FFFFFF" w:val="clear"/>
        </w:rPr>
        <w:t>Authorized Officers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(Adopted by the Board of Directors on April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APPENDIX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Resolutions of the Board of Trustees (the “Board”) of </w:t>
      </w:r>
      <w:r>
        <w:rPr>
          <w:rFonts w:ascii="Times New Roman;Times;Serif" w:hAnsi="Times New Roman;Times;Serif"/>
          <w:b/>
          <w:i w:val="false"/>
          <w:caps w:val="false"/>
          <w:smallCaps w:val="false"/>
          <w:sz w:val="20"/>
        </w:rPr>
        <w:t xml:space="preserve">Stellus Private Credit BDC </w:t>
      </w:r>
      <w:r>
        <w:rPr>
          <w:rFonts w:ascii="Times New Roman;Times;Serif" w:hAnsi="Times New Roman;Times;Serif"/>
          <w:b/>
          <w:i w:val="false"/>
          <w:caps w:val="false"/>
          <w:smallCaps w:val="false"/>
          <w:sz w:val="20"/>
          <w:shd w:fill="FFFFFF" w:val="clear"/>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has reviewed the Company’s Co-Investment Application (the “</w:t>
      </w:r>
      <w:r>
        <w:rPr>
          <w:rFonts w:ascii="Times New Roman;Times;Serif" w:hAnsi="Times New Roman;Times;Serif"/>
          <w:b/>
          <w:i/>
          <w:caps w:val="false"/>
          <w:smallCaps w:val="false"/>
          <w:sz w:val="20"/>
        </w:rPr>
        <w:t>Exemptive Application</w:t>
      </w:r>
      <w:r>
        <w:rPr>
          <w:rFonts w:ascii="Times New Roman;Times;Serif" w:hAnsi="Times New Roman;Times;Serif"/>
          <w:b w:val="false"/>
          <w:i w:val="false"/>
          <w:caps w:val="false"/>
          <w:smallCaps w:val="false"/>
          <w:sz w:val="20"/>
        </w:rPr>
        <w:t>”), a copy of which is attached hereto as Exhibit A, for an order of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pursuant to Section 17(d) and 57(i) of the 1940 Act, and Rule 17d-1 under the 1940 Act to permit certain joint transactions otherwise prohibited by Sections 17(d) and 57(a)(4) of the 1940 Act and Rule 17d-1 under the 1940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deems it advisable and in the best interest of the Company that the Company file the Exemptive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Authorized Officers, shall be, and each of them individually hereby is, authorized, empowered and directed, in the name and on behalf of the Company, to cause to be executed, delivered and filed with the SEC the Exemptive Application, in substantially the form attached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Authorized Officers shall be, and each of them individually hereby is, authorized, empowered and directed, in 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all acts and things previously done by any of the Authorized Officers, on or prior to the date hereof, in the name and on behalf of the Company in connection with the foregoing resolutions are in all respects authorized, ratified, approved, confirmed and adopted as the acts and deeds by and on behalf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Authorized Officers be, and each of them hereby is, authorized, empowered and directed to certify and deliver 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for purposes of the foregoing resolutions, the Officers of the Company shall be the President and Chief Executive Officer and Chief Financial Officer of the Company (collectively, the “</w:t>
      </w:r>
      <w:r>
        <w:rPr>
          <w:rFonts w:ascii="Times New Roman;Times;Serif" w:hAnsi="Times New Roman;Times;Serif"/>
          <w:b/>
          <w:i/>
          <w:caps w:val="false"/>
          <w:smallCaps w:val="false"/>
          <w:sz w:val="20"/>
        </w:rPr>
        <w:t>Authorized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the Board of Trustees on April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Wholly-Owned Subsidiaries of SCIC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SBIC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SBIC II,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Capital SBIC III,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SCIC-SKP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SCIC-ERC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SCIC-Consolidated Blocker,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SCIC-CC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SCIC-APE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SCIC-Hollander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SCIC-Invincible Blocker 1,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SCIC-Venbrook Blocker,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Wholly-Owned Subsidiaries of SPBDC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PBDC Consolidated Blocker,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Stellus Private Credit BDC SPV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8473</Words>
  <Characters>45377</Characters>
  <CharactersWithSpaces>53980</CharactersWithSpaces>
  <Paragraphs>1025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